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lang w:eastAsia="zh-CN"/>
        </w:rPr>
      </w:pPr>
      <w:bookmarkStart w:id="0" w:name="_GoBack"/>
      <w:bookmarkEnd w:id="0"/>
      <w:r>
        <w:drawing>
          <wp:inline distT="0" distB="0" distL="0" distR="0">
            <wp:extent cx="5003165" cy="2496185"/>
            <wp:effectExtent l="0" t="0" r="6985" b="0"/>
            <wp:docPr id="3053576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7683" name="Grafik 3"/>
                    <pic:cNvPicPr>
                      <a:picLocks noChangeAspect="1"/>
                    </pic:cNvPicPr>
                  </pic:nvPicPr>
                  <pic:blipFill>
                    <a:blip r:embed="rId9"/>
                    <a:srcRect t="15891" b="17581"/>
                    <a:stretch>
                      <a:fillRect/>
                    </a:stretch>
                  </pic:blipFill>
                  <pic:spPr>
                    <a:xfrm>
                      <a:off x="0" y="0"/>
                      <a:ext cx="5003800" cy="2496702"/>
                    </a:xfrm>
                    <a:prstGeom prst="rect">
                      <a:avLst/>
                    </a:prstGeom>
                    <a:ln>
                      <a:noFill/>
                    </a:ln>
                  </pic:spPr>
                </pic:pic>
              </a:graphicData>
            </a:graphic>
          </wp:inline>
        </w:drawing>
      </w:r>
      <w:r>
        <w:rPr>
          <w:rFonts w:hint="eastAsia"/>
          <w:lang w:eastAsia="zh-CN"/>
        </w:rPr>
        <w:t>为</w:t>
      </w:r>
      <w:r>
        <w:rPr>
          <w:rFonts w:hint="eastAsia" w:eastAsia="宋体"/>
          <w:lang w:val="en-US" w:eastAsia="zh-CN"/>
        </w:rPr>
        <w:t>应对</w:t>
      </w:r>
      <w:r>
        <w:rPr>
          <w:rFonts w:hint="eastAsia"/>
          <w:lang w:eastAsia="zh-CN"/>
        </w:rPr>
        <w:t>当今复杂的音乐制作而生</w:t>
      </w:r>
    </w:p>
    <w:p>
      <w:pPr>
        <w:rPr>
          <w:rStyle w:val="17"/>
          <w:rFonts w:eastAsia="宋体"/>
          <w:lang w:val="en-US" w:eastAsia="zh-CN"/>
        </w:rPr>
      </w:pPr>
      <w:r>
        <w:rPr>
          <w:rStyle w:val="17"/>
          <w:rFonts w:hint="eastAsia"/>
          <w:lang w:eastAsia="zh-CN"/>
        </w:rPr>
        <w:t>森海塞尔HD 490 PRO</w:t>
      </w:r>
      <w:r>
        <w:rPr>
          <w:rStyle w:val="17"/>
          <w:rFonts w:hint="eastAsia" w:eastAsia="宋体"/>
          <w:lang w:val="en-US" w:eastAsia="zh-CN"/>
        </w:rPr>
        <w:t>参考级</w:t>
      </w:r>
      <w:r>
        <w:rPr>
          <w:rStyle w:val="17"/>
          <w:rFonts w:hint="eastAsia"/>
          <w:lang w:eastAsia="zh-CN"/>
        </w:rPr>
        <w:t>录音棚监听耳机</w:t>
      </w:r>
      <w:r>
        <w:rPr>
          <w:rStyle w:val="17"/>
          <w:rFonts w:hint="eastAsia"/>
          <w:lang w:val="en-US" w:eastAsia="zh-CN"/>
        </w:rPr>
        <w:t>将</w:t>
      </w:r>
      <w:r>
        <w:rPr>
          <w:rStyle w:val="17"/>
          <w:rFonts w:hint="eastAsia"/>
          <w:lang w:eastAsia="zh-CN"/>
        </w:rPr>
        <w:t>清晰度、舒适度和可靠性</w:t>
      </w:r>
      <w:r>
        <w:rPr>
          <w:rStyle w:val="17"/>
          <w:rFonts w:hint="eastAsia" w:eastAsia="宋体"/>
          <w:lang w:val="en-US" w:eastAsia="zh-CN"/>
        </w:rPr>
        <w:t>完美结合</w:t>
      </w:r>
    </w:p>
    <w:p>
      <w:pPr>
        <w:rPr>
          <w:lang w:eastAsia="zh-CN"/>
        </w:rPr>
      </w:pPr>
    </w:p>
    <w:p>
      <w:pPr>
        <w:rPr>
          <w:rStyle w:val="64"/>
          <w:b/>
          <w:bCs/>
          <w:lang w:eastAsia="zh-CN"/>
        </w:rPr>
      </w:pPr>
      <w:r>
        <w:rPr>
          <w:rStyle w:val="17"/>
          <w:rFonts w:hint="eastAsia"/>
          <w:i/>
          <w:lang w:eastAsia="zh-CN"/>
        </w:rPr>
        <w:t>韦德马克/阿纳海姆，2024年1月23日</w:t>
      </w:r>
      <w:r>
        <w:rPr>
          <w:rStyle w:val="17"/>
          <w:rFonts w:hint="eastAsia"/>
          <w:lang w:eastAsia="zh-CN"/>
        </w:rPr>
        <w:t xml:space="preserve"> – 森海塞尔于今日发布全新</w:t>
      </w:r>
      <w:r>
        <w:rPr>
          <w:rStyle w:val="17"/>
          <w:rFonts w:hint="eastAsia" w:eastAsia="宋体"/>
          <w:lang w:val="en-US" w:eastAsia="zh-CN"/>
        </w:rPr>
        <w:t>的开放式</w:t>
      </w:r>
      <w:r>
        <w:rPr>
          <w:rStyle w:val="17"/>
          <w:rFonts w:hint="eastAsia"/>
          <w:lang w:eastAsia="zh-CN"/>
        </w:rPr>
        <w:t>HD 490 PRO</w:t>
      </w:r>
      <w:r>
        <w:rPr>
          <w:rStyle w:val="17"/>
          <w:rFonts w:hint="eastAsia" w:eastAsia="宋体"/>
          <w:lang w:val="en-US" w:eastAsia="zh-CN"/>
        </w:rPr>
        <w:t>参考级</w:t>
      </w:r>
      <w:r>
        <w:rPr>
          <w:rStyle w:val="17"/>
          <w:rFonts w:hint="eastAsia"/>
          <w:lang w:eastAsia="zh-CN"/>
        </w:rPr>
        <w:t>录音棚监听耳机，专为音乐制作、混音和母带制作而生。这款包耳式动圈耳机具有高度精准的声音再现，以及宽广逼真的声场。出色的精确度和声场</w:t>
      </w:r>
      <w:r>
        <w:rPr>
          <w:rFonts w:hint="eastAsia" w:eastAsia="宋体"/>
          <w:b/>
          <w:lang w:val="en-US" w:eastAsia="zh-CN"/>
        </w:rPr>
        <w:t>为</w:t>
      </w:r>
      <w:r>
        <w:rPr>
          <w:rFonts w:hint="eastAsia"/>
          <w:b/>
          <w:lang w:eastAsia="zh-CN"/>
        </w:rPr>
        <w:t>制作人、混音和母带工程师及音乐家</w:t>
      </w:r>
      <w:r>
        <w:rPr>
          <w:rFonts w:hint="eastAsia" w:eastAsia="宋体"/>
          <w:b/>
          <w:lang w:val="en-US" w:eastAsia="zh-CN"/>
        </w:rPr>
        <w:t>提供了关键混音决策时所需的透明度，并使</w:t>
      </w:r>
      <w:r>
        <w:rPr>
          <w:rStyle w:val="17"/>
          <w:rFonts w:hint="eastAsia" w:eastAsia="宋体"/>
          <w:lang w:val="en-US" w:eastAsia="zh-CN"/>
        </w:rPr>
        <w:t>他们能够信心十足地</w:t>
      </w:r>
      <w:r>
        <w:rPr>
          <w:rStyle w:val="17"/>
          <w:rFonts w:hint="eastAsia"/>
          <w:lang w:eastAsia="zh-CN"/>
        </w:rPr>
        <w:t>解决任何有关相位调整的问题。HD 490 PRO和HD 490 PRO Plus套装（含额外</w:t>
      </w:r>
      <w:r>
        <w:rPr>
          <w:rStyle w:val="17"/>
          <w:rFonts w:hint="eastAsia" w:eastAsia="宋体"/>
          <w:lang w:val="en-US" w:eastAsia="zh-CN"/>
        </w:rPr>
        <w:t>配件</w:t>
      </w:r>
      <w:r>
        <w:rPr>
          <w:rStyle w:val="17"/>
          <w:rFonts w:hint="eastAsia"/>
          <w:lang w:eastAsia="zh-CN"/>
        </w:rPr>
        <w:t>）将于1月底上市。在于加州阿纳海姆举办的NAMM展会期间，</w:t>
      </w:r>
      <w:r>
        <w:rPr>
          <w:rStyle w:val="64"/>
          <w:rFonts w:hint="eastAsia"/>
          <w:b/>
          <w:lang w:eastAsia="zh-CN"/>
        </w:rPr>
        <w:t xml:space="preserve">森海塞尔集团展台（18806号）将展出HD </w:t>
      </w:r>
      <w:r>
        <w:rPr>
          <w:rStyle w:val="64"/>
          <w:b/>
          <w:lang w:eastAsia="zh-CN"/>
        </w:rPr>
        <w:t xml:space="preserve">490 </w:t>
      </w:r>
      <w:r>
        <w:rPr>
          <w:rStyle w:val="64"/>
          <w:rFonts w:hint="eastAsia"/>
          <w:b/>
          <w:lang w:eastAsia="zh-CN"/>
        </w:rPr>
        <w:t>PRO，与会者可现场体验。</w:t>
      </w:r>
    </w:p>
    <w:p>
      <w:pPr>
        <w:rPr>
          <w:rStyle w:val="17"/>
          <w:b w:val="0"/>
          <w:bCs w:val="0"/>
          <w:lang w:eastAsia="zh-CN"/>
        </w:rPr>
      </w:pPr>
    </w:p>
    <w:p>
      <w:pPr>
        <w:rPr>
          <w:rStyle w:val="17"/>
          <w:b w:val="0"/>
          <w:bCs w:val="0"/>
        </w:rPr>
      </w:pPr>
      <w:r>
        <w:rPr>
          <w:rStyle w:val="17"/>
          <w:rFonts w:hint="eastAsia"/>
          <w:b w:val="0"/>
          <w:bCs w:val="0"/>
          <w:lang w:eastAsia="zh-CN"/>
        </w:rPr>
        <w:t>“如果将当今的音乐制作与10年</w:t>
      </w:r>
      <w:r>
        <w:rPr>
          <w:rStyle w:val="17"/>
          <w:rFonts w:hint="eastAsia" w:eastAsia="宋体"/>
          <w:b w:val="0"/>
          <w:bCs w:val="0"/>
          <w:lang w:eastAsia="zh-CN"/>
        </w:rPr>
        <w:t>、</w:t>
      </w:r>
      <w:r>
        <w:rPr>
          <w:rStyle w:val="17"/>
          <w:rFonts w:hint="eastAsia"/>
          <w:b w:val="0"/>
          <w:bCs w:val="0"/>
          <w:lang w:eastAsia="zh-CN"/>
        </w:rPr>
        <w:t>20年前的情况</w:t>
      </w:r>
      <w:r>
        <w:rPr>
          <w:rStyle w:val="17"/>
          <w:rFonts w:hint="eastAsia" w:eastAsia="宋体"/>
          <w:b w:val="0"/>
          <w:bCs w:val="0"/>
          <w:lang w:val="en-US" w:eastAsia="zh-CN"/>
        </w:rPr>
        <w:t>相</w:t>
      </w:r>
      <w:r>
        <w:rPr>
          <w:rStyle w:val="17"/>
          <w:rFonts w:hint="eastAsia"/>
          <w:b w:val="0"/>
          <w:bCs w:val="0"/>
          <w:lang w:eastAsia="zh-CN"/>
        </w:rPr>
        <w:t>比较，您会</w:t>
      </w:r>
      <w:r>
        <w:rPr>
          <w:rStyle w:val="17"/>
          <w:rFonts w:hint="eastAsia" w:eastAsia="宋体"/>
          <w:b w:val="0"/>
          <w:bCs w:val="0"/>
          <w:lang w:val="en-US" w:eastAsia="zh-CN"/>
        </w:rPr>
        <w:t>注意</w:t>
      </w:r>
      <w:r>
        <w:rPr>
          <w:rStyle w:val="17"/>
          <w:rFonts w:hint="eastAsia"/>
          <w:b w:val="0"/>
          <w:bCs w:val="0"/>
          <w:lang w:eastAsia="zh-CN"/>
        </w:rPr>
        <w:t>到，计算机能力的大幅提升和复杂参数的自动化已然改变了音乐制作的方式</w:t>
      </w:r>
      <w:r>
        <w:rPr>
          <w:rStyle w:val="17"/>
          <w:rFonts w:hint="eastAsia" w:eastAsia="宋体"/>
          <w:b w:val="0"/>
          <w:bCs w:val="0"/>
          <w:lang w:eastAsia="zh-CN"/>
        </w:rPr>
        <w:t>，”</w:t>
      </w:r>
      <w:r>
        <w:rPr>
          <w:rStyle w:val="17"/>
          <w:rFonts w:hint="eastAsia"/>
          <w:b w:val="0"/>
          <w:bCs w:val="0"/>
          <w:lang w:eastAsia="zh-CN"/>
        </w:rPr>
        <w:t>森海塞尔音乐行业产品品类市场经理Jimmy Landry表示</w:t>
      </w:r>
      <w:r>
        <w:rPr>
          <w:rStyle w:val="17"/>
          <w:rFonts w:hint="eastAsia" w:eastAsia="宋体"/>
          <w:b w:val="0"/>
          <w:bCs w:val="0"/>
          <w:lang w:eastAsia="zh-CN"/>
        </w:rPr>
        <w:t>，“</w:t>
      </w:r>
      <w:r>
        <w:rPr>
          <w:rStyle w:val="17"/>
          <w:rFonts w:hint="eastAsia" w:eastAsia="宋体"/>
          <w:b w:val="0"/>
          <w:bCs w:val="0"/>
          <w:lang w:val="en-US" w:eastAsia="zh-CN"/>
        </w:rPr>
        <w:t>在每</w:t>
      </w:r>
      <w:r>
        <w:rPr>
          <w:rStyle w:val="17"/>
          <w:rFonts w:hint="eastAsia"/>
          <w:b w:val="0"/>
          <w:bCs w:val="0"/>
          <w:lang w:eastAsia="zh-CN"/>
        </w:rPr>
        <w:t>种音乐流派中，工程师和音乐创作者都在不断突破界限，创造极其复杂的混音，而这些混音很容易出现业内所谓的‘音频盲点’。由于过多乐器处于相同的位置，频率相互干扰，就会令混音变得拥挤、浑浊。因而，工程师或音乐家很难清晰辨别每种乐器或每一个人的声音。这就凸显了一款好的录音棚监听耳机的重要</w:t>
      </w:r>
      <w:r>
        <w:rPr>
          <w:rStyle w:val="17"/>
          <w:rFonts w:hint="eastAsia" w:eastAsia="宋体"/>
          <w:b w:val="0"/>
          <w:bCs w:val="0"/>
          <w:lang w:val="en-US" w:eastAsia="zh-CN"/>
        </w:rPr>
        <w:t>性</w:t>
      </w:r>
      <w:r>
        <w:rPr>
          <w:rStyle w:val="17"/>
          <w:rFonts w:hint="eastAsia"/>
          <w:b w:val="0"/>
          <w:bCs w:val="0"/>
          <w:lang w:eastAsia="zh-CN"/>
        </w:rPr>
        <w:t>。</w:t>
      </w:r>
      <w:r>
        <w:rPr>
          <w:rStyle w:val="17"/>
          <w:rFonts w:hint="eastAsia"/>
          <w:b w:val="0"/>
          <w:bCs w:val="0"/>
        </w:rPr>
        <w:t>”</w:t>
      </w:r>
    </w:p>
    <w:p>
      <w:pPr>
        <w:rPr>
          <w:rStyle w:val="17"/>
          <w:b w:val="0"/>
          <w:bCs w:val="0"/>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3935"/>
        <w:gridCol w:w="3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935" w:type="dxa"/>
          </w:tcPr>
          <w:p>
            <w:pPr>
              <w:pStyle w:val="6"/>
              <w:rPr>
                <w:rStyle w:val="17"/>
                <w:b w:val="0"/>
                <w:bCs w:val="0"/>
                <w:lang w:eastAsia="zh-CN"/>
              </w:rPr>
            </w:pPr>
            <w:r>
              <w:rPr>
                <w:rStyle w:val="17"/>
                <w:rFonts w:hint="eastAsia"/>
                <w:b w:val="0"/>
                <w:bCs w:val="0"/>
                <w:lang w:eastAsia="zh-CN"/>
              </w:rPr>
              <w:t>森海塞尔HD 490 PRO是森海塞尔专为混音、母带制作和音乐制作打造的旗舰专业产品型号。</w:t>
            </w:r>
          </w:p>
        </w:tc>
        <w:tc>
          <w:tcPr>
            <w:tcW w:w="3935" w:type="dxa"/>
          </w:tcPr>
          <w:p>
            <w:pPr>
              <w:pStyle w:val="6"/>
              <w:jc w:val="center"/>
              <w:rPr>
                <w:rStyle w:val="17"/>
                <w:b w:val="0"/>
                <w:bCs w:val="0"/>
              </w:rPr>
            </w:pPr>
            <w:r>
              <w:drawing>
                <wp:inline distT="0" distB="0" distL="0" distR="0">
                  <wp:extent cx="1224280" cy="2202180"/>
                  <wp:effectExtent l="0" t="0" r="0" b="6350"/>
                  <wp:docPr id="16730315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1500" name="Grafik 2"/>
                          <pic:cNvPicPr>
                            <a:picLocks noChangeAspect="1"/>
                          </pic:cNvPicPr>
                        </pic:nvPicPr>
                        <pic:blipFill>
                          <a:blip r:embed="rId10"/>
                          <a:stretch>
                            <a:fillRect/>
                          </a:stretch>
                        </pic:blipFill>
                        <pic:spPr>
                          <a:xfrm>
                            <a:off x="0" y="0"/>
                            <a:ext cx="1224718" cy="2202511"/>
                          </a:xfrm>
                          <a:prstGeom prst="rect">
                            <a:avLst/>
                          </a:prstGeom>
                        </pic:spPr>
                      </pic:pic>
                    </a:graphicData>
                  </a:graphic>
                </wp:inline>
              </w:drawing>
            </w:r>
          </w:p>
        </w:tc>
      </w:tr>
    </w:tbl>
    <w:p>
      <w:pPr>
        <w:rPr>
          <w:rStyle w:val="17"/>
          <w:lang w:eastAsia="zh-CN"/>
        </w:rPr>
      </w:pPr>
      <w:r>
        <w:rPr>
          <w:rStyle w:val="17"/>
          <w:rFonts w:hint="eastAsia"/>
          <w:lang w:eastAsia="zh-CN"/>
        </w:rPr>
        <w:t>全频谱音频精确度</w:t>
      </w:r>
    </w:p>
    <w:p>
      <w:pPr>
        <w:rPr>
          <w:rStyle w:val="17"/>
          <w:b w:val="0"/>
          <w:bCs w:val="0"/>
          <w:lang w:eastAsia="zh-CN"/>
        </w:rPr>
      </w:pPr>
      <w:r>
        <w:rPr>
          <w:rStyle w:val="17"/>
          <w:rFonts w:hint="eastAsia"/>
          <w:b w:val="0"/>
          <w:bCs w:val="0"/>
          <w:lang w:eastAsia="zh-CN"/>
        </w:rPr>
        <w:t>为了应对这种复杂性，森海塞尔的工程师为HD 490 PRO打造了</w:t>
      </w:r>
      <w:r>
        <w:rPr>
          <w:rStyle w:val="17"/>
          <w:rFonts w:hint="eastAsia" w:eastAsia="宋体"/>
          <w:b w:val="0"/>
          <w:bCs w:val="0"/>
          <w:lang w:val="en-US" w:eastAsia="zh-CN"/>
        </w:rPr>
        <w:t>一个非常宽阔</w:t>
      </w:r>
      <w:r>
        <w:rPr>
          <w:rStyle w:val="17"/>
          <w:rFonts w:hint="eastAsia"/>
          <w:b w:val="0"/>
          <w:bCs w:val="0"/>
          <w:lang w:eastAsia="zh-CN"/>
        </w:rPr>
        <w:t>、立体的声场，</w:t>
      </w:r>
      <w:r>
        <w:rPr>
          <w:rStyle w:val="17"/>
          <w:rFonts w:hint="eastAsia" w:eastAsia="宋体"/>
          <w:b w:val="0"/>
          <w:bCs w:val="0"/>
          <w:lang w:val="en-US" w:eastAsia="zh-CN"/>
        </w:rPr>
        <w:t>用于</w:t>
      </w:r>
      <w:r>
        <w:rPr>
          <w:rStyle w:val="17"/>
          <w:rFonts w:hint="eastAsia"/>
          <w:b w:val="0"/>
          <w:bCs w:val="0"/>
          <w:lang w:eastAsia="zh-CN"/>
        </w:rPr>
        <w:t>精准定位混音中的各个组成部分。超轻音圈可确保快速、真实的声音再现。整个音频频谱范围内的频率响应均无音染，尽显真实音色，由于采用了特殊的低频圆柱结构，低频饱满、精准且定位清晰。透过开放式网状耳罩，可以看到森海塞尔的开放式框架架构，这种架构能够最大限度地减少共振和失真。为了提供更好的听觉体验，换能器略呈一定角度放置，效仿典型的监听</w:t>
      </w:r>
      <w:r>
        <w:rPr>
          <w:rStyle w:val="17"/>
          <w:rFonts w:hint="eastAsia" w:eastAsia="宋体"/>
          <w:b w:val="0"/>
          <w:bCs w:val="0"/>
          <w:lang w:val="en-US" w:eastAsia="zh-CN"/>
        </w:rPr>
        <w:t>音箱</w:t>
      </w:r>
      <w:r>
        <w:rPr>
          <w:rStyle w:val="17"/>
          <w:rFonts w:hint="eastAsia"/>
          <w:b w:val="0"/>
          <w:bCs w:val="0"/>
          <w:lang w:eastAsia="zh-CN"/>
        </w:rPr>
        <w:t xml:space="preserve">设置。 </w:t>
      </w:r>
    </w:p>
    <w:p>
      <w:pPr>
        <w:rPr>
          <w:rStyle w:val="17"/>
          <w:b w:val="0"/>
          <w:bCs w:val="0"/>
          <w:lang w:eastAsia="zh-CN"/>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5028"/>
        <w:gridCol w:w="2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935" w:type="dxa"/>
          </w:tcPr>
          <w:p>
            <w:pPr>
              <w:pStyle w:val="6"/>
              <w:rPr>
                <w:rStyle w:val="17"/>
                <w:b w:val="0"/>
                <w:bCs w:val="0"/>
              </w:rPr>
            </w:pPr>
            <w:r>
              <w:drawing>
                <wp:inline distT="0" distB="0" distL="0" distR="0">
                  <wp:extent cx="3116580" cy="2077720"/>
                  <wp:effectExtent l="0" t="0" r="7620" b="0"/>
                  <wp:docPr id="21092348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34881" name="Grafik 4"/>
                          <pic:cNvPicPr>
                            <a:picLocks noChangeAspect="1"/>
                          </pic:cNvPicPr>
                        </pic:nvPicPr>
                        <pic:blipFill>
                          <a:blip r:embed="rId11"/>
                          <a:stretch>
                            <a:fillRect/>
                          </a:stretch>
                        </pic:blipFill>
                        <pic:spPr>
                          <a:xfrm>
                            <a:off x="0" y="0"/>
                            <a:ext cx="3121894" cy="2081130"/>
                          </a:xfrm>
                          <a:prstGeom prst="rect">
                            <a:avLst/>
                          </a:prstGeom>
                        </pic:spPr>
                      </pic:pic>
                    </a:graphicData>
                  </a:graphic>
                </wp:inline>
              </w:drawing>
            </w:r>
          </w:p>
        </w:tc>
        <w:tc>
          <w:tcPr>
            <w:tcW w:w="3935" w:type="dxa"/>
          </w:tcPr>
          <w:p>
            <w:pPr>
              <w:pStyle w:val="6"/>
              <w:rPr>
                <w:rStyle w:val="17"/>
                <w:b w:val="0"/>
                <w:bCs w:val="0"/>
                <w:lang w:eastAsia="zh-CN"/>
              </w:rPr>
            </w:pPr>
            <w:r>
              <w:rPr>
                <w:rStyle w:val="17"/>
                <w:rFonts w:hint="eastAsia"/>
                <w:b w:val="0"/>
                <w:bCs w:val="0"/>
                <w:lang w:eastAsia="zh-CN"/>
              </w:rPr>
              <w:t>HD 490 PRO录音棚监听耳机可提供宽阔的空间声场和出色的定位效果，帮助制作人打造母带臻品</w:t>
            </w:r>
          </w:p>
        </w:tc>
      </w:tr>
    </w:tbl>
    <w:p>
      <w:pPr>
        <w:rPr>
          <w:rStyle w:val="17"/>
          <w:b w:val="0"/>
          <w:bCs w:val="0"/>
          <w:lang w:eastAsia="zh-CN"/>
        </w:rPr>
      </w:pPr>
    </w:p>
    <w:p>
      <w:pPr>
        <w:rPr>
          <w:rStyle w:val="17"/>
          <w:b w:val="0"/>
          <w:bCs w:val="0"/>
        </w:rPr>
      </w:pPr>
      <w:r>
        <w:rPr>
          <w:rStyle w:val="17"/>
          <w:rFonts w:hint="eastAsia"/>
          <w:b w:val="0"/>
          <w:bCs w:val="0"/>
          <w:lang w:eastAsia="zh-CN"/>
        </w:rPr>
        <w:t>“所有这些特点相辅相成，让专业音乐人能够辨别并解决各类有关相位调整的问题和低频问题，打造清晰的混音和母带臻品</w:t>
      </w:r>
      <w:r>
        <w:rPr>
          <w:rStyle w:val="17"/>
          <w:rFonts w:hint="eastAsia" w:eastAsia="宋体"/>
          <w:b w:val="0"/>
          <w:bCs w:val="0"/>
          <w:lang w:eastAsia="zh-CN"/>
        </w:rPr>
        <w:t>，”</w:t>
      </w:r>
      <w:r>
        <w:rPr>
          <w:rStyle w:val="17"/>
          <w:rFonts w:hint="eastAsia"/>
          <w:b w:val="0"/>
          <w:bCs w:val="0"/>
          <w:lang w:eastAsia="zh-CN"/>
        </w:rPr>
        <w:t>森海塞尔产品经理Gunnar Dirks解释道</w:t>
      </w:r>
      <w:r>
        <w:rPr>
          <w:rStyle w:val="17"/>
          <w:rFonts w:hint="eastAsia" w:eastAsia="宋体"/>
          <w:b w:val="0"/>
          <w:bCs w:val="0"/>
          <w:lang w:eastAsia="zh-CN"/>
        </w:rPr>
        <w:t>，“</w:t>
      </w:r>
      <w:r>
        <w:rPr>
          <w:rStyle w:val="17"/>
          <w:rFonts w:hint="eastAsia"/>
          <w:b w:val="0"/>
          <w:bCs w:val="0"/>
          <w:lang w:eastAsia="zh-CN"/>
        </w:rPr>
        <w:t>HD 490 PRO录音棚监听耳机让您可以全面把控每一个细节。</w:t>
      </w:r>
      <w:r>
        <w:rPr>
          <w:rStyle w:val="17"/>
          <w:rFonts w:hint="eastAsia"/>
          <w:b w:val="0"/>
          <w:bCs w:val="0"/>
        </w:rPr>
        <w:t>”</w:t>
      </w:r>
    </w:p>
    <w:p>
      <w:pPr>
        <w:rPr>
          <w:rStyle w:val="17"/>
          <w:b w:val="0"/>
          <w:bCs w:val="0"/>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3695"/>
        <w:gridCol w:w="42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935" w:type="dxa"/>
          </w:tcPr>
          <w:p>
            <w:pPr>
              <w:pStyle w:val="6"/>
              <w:rPr>
                <w:rStyle w:val="17"/>
                <w:b w:val="0"/>
                <w:bCs w:val="0"/>
                <w:lang w:eastAsia="zh-CN"/>
              </w:rPr>
            </w:pPr>
            <w:r>
              <w:rPr>
                <w:rStyle w:val="17"/>
                <w:rFonts w:hint="eastAsia"/>
                <w:b w:val="0"/>
                <w:bCs w:val="0"/>
                <w:lang w:eastAsia="zh-CN"/>
              </w:rPr>
              <w:t>森海塞尔HD 490 PRO录音棚监听耳机让用户能够全面把控混音的每一个细节</w:t>
            </w:r>
          </w:p>
        </w:tc>
        <w:tc>
          <w:tcPr>
            <w:tcW w:w="3935" w:type="dxa"/>
          </w:tcPr>
          <w:p>
            <w:pPr>
              <w:pStyle w:val="6"/>
              <w:rPr>
                <w:rStyle w:val="17"/>
                <w:b w:val="0"/>
                <w:bCs w:val="0"/>
              </w:rPr>
            </w:pPr>
            <w:r>
              <w:drawing>
                <wp:inline distT="0" distB="0" distL="0" distR="0">
                  <wp:extent cx="2657475" cy="1992630"/>
                  <wp:effectExtent l="0" t="0" r="0" b="7620"/>
                  <wp:docPr id="2102162585" name="Grafik 1" descr="Ein Bild, das Person, Musik, Kopfhör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2585" name="Grafik 1" descr="Ein Bild, das Person, Musik, Kopfhörer, Mann enthält.&#10;&#10;Automatisch generierte Beschreibung"/>
                          <pic:cNvPicPr>
                            <a:picLocks noChangeAspect="1"/>
                          </pic:cNvPicPr>
                        </pic:nvPicPr>
                        <pic:blipFill>
                          <a:blip r:embed="rId12"/>
                          <a:stretch>
                            <a:fillRect/>
                          </a:stretch>
                        </pic:blipFill>
                        <pic:spPr>
                          <a:xfrm>
                            <a:off x="0" y="0"/>
                            <a:ext cx="2662149" cy="1996612"/>
                          </a:xfrm>
                          <a:prstGeom prst="rect">
                            <a:avLst/>
                          </a:prstGeom>
                        </pic:spPr>
                      </pic:pic>
                    </a:graphicData>
                  </a:graphic>
                </wp:inline>
              </w:drawing>
            </w:r>
          </w:p>
        </w:tc>
      </w:tr>
    </w:tbl>
    <w:p>
      <w:pPr>
        <w:rPr>
          <w:rStyle w:val="17"/>
          <w:b w:val="0"/>
          <w:bCs w:val="0"/>
        </w:rPr>
      </w:pPr>
    </w:p>
    <w:p>
      <w:pPr>
        <w:rPr>
          <w:rStyle w:val="17"/>
          <w:lang w:eastAsia="zh-CN"/>
        </w:rPr>
      </w:pPr>
      <w:r>
        <w:rPr>
          <w:rStyle w:val="17"/>
          <w:rFonts w:hint="eastAsia"/>
          <w:lang w:eastAsia="zh-CN"/>
        </w:rPr>
        <w:t>愉悦舒心的佩戴感受</w:t>
      </w:r>
    </w:p>
    <w:p>
      <w:pPr>
        <w:rPr>
          <w:rStyle w:val="47"/>
          <w:rFonts w:ascii="Sennheiser Office" w:hAnsi="Sennheiser Office" w:eastAsia="宋体"/>
          <w:color w:val="000000"/>
          <w:shd w:val="clear" w:color="auto" w:fill="FFFFFF"/>
          <w:lang w:eastAsia="zh-CN"/>
        </w:rPr>
      </w:pPr>
      <w:r>
        <w:rPr>
          <w:rStyle w:val="17"/>
          <w:rFonts w:hint="eastAsia"/>
          <w:b w:val="0"/>
          <w:bCs w:val="0"/>
          <w:lang w:eastAsia="zh-CN"/>
        </w:rPr>
        <w:t>对于一副高品质的录音棚监听耳机来说，如果佩戴感不佳，效果便会大打折扣。因此，森海塞尔</w:t>
      </w:r>
      <w:r>
        <w:rPr>
          <w:rStyle w:val="17"/>
          <w:rFonts w:hint="eastAsia" w:eastAsia="宋体"/>
          <w:b w:val="0"/>
          <w:bCs w:val="0"/>
          <w:lang w:val="en-US" w:eastAsia="zh-CN"/>
        </w:rPr>
        <w:t>的</w:t>
      </w:r>
      <w:r>
        <w:rPr>
          <w:rStyle w:val="17"/>
          <w:rFonts w:hint="eastAsia"/>
          <w:b w:val="0"/>
          <w:bCs w:val="0"/>
          <w:lang w:eastAsia="zh-CN"/>
        </w:rPr>
        <w:t>工程师</w:t>
      </w:r>
      <w:r>
        <w:rPr>
          <w:rStyle w:val="17"/>
          <w:rFonts w:hint="eastAsia" w:eastAsia="宋体"/>
          <w:b w:val="0"/>
          <w:bCs w:val="0"/>
          <w:lang w:val="en-US" w:eastAsia="zh-CN"/>
        </w:rPr>
        <w:t>将</w:t>
      </w:r>
      <w:r>
        <w:rPr>
          <w:rStyle w:val="17"/>
          <w:rFonts w:hint="eastAsia"/>
          <w:b w:val="0"/>
          <w:bCs w:val="0"/>
          <w:lang w:eastAsia="zh-CN"/>
        </w:rPr>
        <w:t>数十年</w:t>
      </w:r>
      <w:r>
        <w:rPr>
          <w:rStyle w:val="17"/>
          <w:rFonts w:hint="eastAsia" w:eastAsia="宋体"/>
          <w:b w:val="0"/>
          <w:bCs w:val="0"/>
          <w:lang w:val="en-US" w:eastAsia="zh-CN"/>
        </w:rPr>
        <w:t>的</w:t>
      </w:r>
      <w:r>
        <w:rPr>
          <w:rStyle w:val="17"/>
          <w:rFonts w:hint="eastAsia"/>
          <w:b w:val="0"/>
          <w:bCs w:val="0"/>
          <w:lang w:eastAsia="zh-CN"/>
        </w:rPr>
        <w:t>专业耳机设计</w:t>
      </w:r>
      <w:r>
        <w:rPr>
          <w:rStyle w:val="17"/>
          <w:rFonts w:hint="eastAsia" w:eastAsia="宋体"/>
          <w:b w:val="0"/>
          <w:bCs w:val="0"/>
          <w:lang w:val="en-US" w:eastAsia="zh-CN"/>
        </w:rPr>
        <w:t>经验投入到</w:t>
      </w:r>
      <w:r>
        <w:rPr>
          <w:rStyle w:val="17"/>
          <w:rFonts w:hint="eastAsia"/>
          <w:b w:val="0"/>
          <w:bCs w:val="0"/>
          <w:lang w:eastAsia="zh-CN"/>
        </w:rPr>
        <w:t>HD 490 PRO</w:t>
      </w:r>
      <w:r>
        <w:rPr>
          <w:rStyle w:val="17"/>
          <w:rFonts w:hint="eastAsia" w:eastAsia="宋体"/>
          <w:b w:val="0"/>
          <w:bCs w:val="0"/>
          <w:lang w:val="en-US" w:eastAsia="zh-CN"/>
        </w:rPr>
        <w:t>中</w:t>
      </w:r>
      <w:r>
        <w:rPr>
          <w:rStyle w:val="17"/>
          <w:rFonts w:hint="eastAsia"/>
          <w:b w:val="0"/>
          <w:bCs w:val="0"/>
          <w:lang w:eastAsia="zh-CN"/>
        </w:rPr>
        <w:t>。HD</w:t>
      </w:r>
      <w:r>
        <w:rPr>
          <w:rStyle w:val="17"/>
          <w:b w:val="0"/>
          <w:bCs w:val="0"/>
          <w:lang w:eastAsia="zh-CN"/>
        </w:rPr>
        <w:t xml:space="preserve"> 490 </w:t>
      </w:r>
      <w:r>
        <w:rPr>
          <w:rStyle w:val="17"/>
          <w:rFonts w:hint="eastAsia"/>
          <w:b w:val="0"/>
          <w:bCs w:val="0"/>
          <w:lang w:eastAsia="zh-CN"/>
        </w:rPr>
        <w:t>PRO重量轻且符合人体工程学的设计消除了压力点，从而使耳机的头梁部分不会对头部的敏感区造成压迫感。此外，包耳式耳罩采用</w:t>
      </w:r>
      <w:r>
        <w:rPr>
          <w:rStyle w:val="17"/>
          <w:rFonts w:hint="eastAsia" w:eastAsia="宋体"/>
          <w:b w:val="0"/>
          <w:bCs w:val="0"/>
          <w:lang w:val="en-US" w:eastAsia="zh-CN"/>
        </w:rPr>
        <w:t>了</w:t>
      </w:r>
      <w:r>
        <w:rPr>
          <w:rStyle w:val="17"/>
          <w:rFonts w:hint="eastAsia"/>
          <w:b w:val="0"/>
          <w:bCs w:val="0"/>
          <w:lang w:eastAsia="zh-CN"/>
        </w:rPr>
        <w:t>森海塞尔已获专利的柔软</w:t>
      </w:r>
      <w:r>
        <w:rPr>
          <w:rStyle w:val="47"/>
          <w:rFonts w:hint="eastAsia" w:ascii="Sennheiser Office" w:hAnsi="Sennheiser Office" w:eastAsia="宋体"/>
          <w:color w:val="000000"/>
          <w:shd w:val="clear" w:color="auto" w:fill="FFFFFF"/>
          <w:lang w:eastAsia="zh-CN"/>
        </w:rPr>
        <w:t xml:space="preserve">舒适区设计，在用户佩戴眼镜时，耳机也能够保持良好的密封性。 </w:t>
      </w:r>
    </w:p>
    <w:p>
      <w:pPr>
        <w:rPr>
          <w:rStyle w:val="47"/>
          <w:rFonts w:ascii="Sennheiser Office" w:hAnsi="Sennheiser Office"/>
          <w:color w:val="000000"/>
          <w:szCs w:val="18"/>
          <w:shd w:val="clear" w:color="auto" w:fill="FFFFFF"/>
          <w:lang w:eastAsia="zh-CN"/>
        </w:rPr>
      </w:pPr>
    </w:p>
    <w:p>
      <w:pPr>
        <w:rPr>
          <w:rStyle w:val="47"/>
          <w:rFonts w:ascii="Sennheiser Office" w:hAnsi="Sennheiser Office" w:eastAsia="宋体"/>
          <w:color w:val="000000"/>
          <w:shd w:val="clear" w:color="auto" w:fill="FFFFFF"/>
          <w:lang w:eastAsia="zh-CN"/>
        </w:rPr>
      </w:pPr>
      <w:r>
        <w:rPr>
          <w:rStyle w:val="47"/>
          <w:rFonts w:hint="eastAsia" w:ascii="Sennheiser Office" w:hAnsi="Sennheiser Office" w:eastAsia="宋体"/>
          <w:color w:val="000000"/>
          <w:shd w:val="clear" w:color="auto" w:fill="FFFFFF"/>
          <w:lang w:eastAsia="zh-CN"/>
        </w:rPr>
        <w:t>除此之外，HD 490 PRO特殊</w:t>
      </w:r>
      <w:r>
        <w:rPr>
          <w:rStyle w:val="47"/>
          <w:rFonts w:hint="eastAsia" w:ascii="Sennheiser Office" w:hAnsi="Sennheiser Office" w:eastAsia="宋体"/>
          <w:color w:val="000000"/>
          <w:shd w:val="clear" w:color="auto" w:fill="FFFFFF"/>
          <w:lang w:val="en-US" w:eastAsia="zh-CN"/>
        </w:rPr>
        <w:t>的</w:t>
      </w:r>
      <w:r>
        <w:rPr>
          <w:rStyle w:val="47"/>
          <w:rFonts w:hint="eastAsia" w:ascii="Sennheiser Office" w:hAnsi="Sennheiser Office" w:eastAsia="宋体"/>
          <w:color w:val="000000"/>
          <w:shd w:val="clear" w:color="auto" w:fill="FFFFFF"/>
          <w:lang w:eastAsia="zh-CN"/>
        </w:rPr>
        <w:t>耳机轴几何设计也已经申请了专利。在用户佩戴耳机时，这种设计确保耳机能充分适应用户的头型，对不同的头型，</w:t>
      </w:r>
      <w:r>
        <w:rPr>
          <w:rStyle w:val="47"/>
          <w:rFonts w:hint="eastAsia" w:ascii="Sennheiser Office" w:hAnsi="Sennheiser Office" w:eastAsia="宋体"/>
          <w:color w:val="000000"/>
          <w:shd w:val="clear" w:color="auto" w:fill="FFFFFF"/>
          <w:lang w:val="en-US" w:eastAsia="zh-CN"/>
        </w:rPr>
        <w:t>都能</w:t>
      </w:r>
      <w:r>
        <w:rPr>
          <w:rStyle w:val="47"/>
          <w:rFonts w:hint="eastAsia" w:ascii="Sennheiser Office" w:hAnsi="Sennheiser Office" w:eastAsia="宋体"/>
          <w:color w:val="000000"/>
          <w:shd w:val="clear" w:color="auto" w:fill="FFFFFF"/>
          <w:lang w:eastAsia="zh-CN"/>
        </w:rPr>
        <w:t xml:space="preserve">保持相同的接触压力。 </w:t>
      </w:r>
    </w:p>
    <w:p>
      <w:pPr>
        <w:rPr>
          <w:rStyle w:val="17"/>
          <w:b w:val="0"/>
          <w:bCs w:val="0"/>
          <w:lang w:eastAsia="zh-CN"/>
        </w:rPr>
      </w:pPr>
    </w:p>
    <w:p>
      <w:pPr>
        <w:rPr>
          <w:rStyle w:val="17"/>
          <w:rFonts w:eastAsia="宋体"/>
          <w:b w:val="0"/>
          <w:bCs w:val="0"/>
          <w:lang w:eastAsia="zh-CN"/>
        </w:rPr>
      </w:pPr>
      <w:r>
        <w:rPr>
          <w:rStyle w:val="17"/>
          <w:rFonts w:hint="eastAsia"/>
          <w:b w:val="0"/>
          <w:bCs w:val="0"/>
          <w:lang w:eastAsia="zh-CN"/>
        </w:rPr>
        <w:t>“在音乐创作过程中，人们最不想为之分神的就是耳机的佩戴贴合度。HD 490 PRO让您可以忘却耳机的存在，潜心遨游在音乐之中。” Landry 表示</w:t>
      </w:r>
      <w:r>
        <w:rPr>
          <w:rStyle w:val="17"/>
          <w:rFonts w:hint="eastAsia" w:eastAsia="宋体"/>
          <w:b w:val="0"/>
          <w:bCs w:val="0"/>
          <w:lang w:eastAsia="zh-CN"/>
        </w:rPr>
        <w:t>。</w:t>
      </w:r>
    </w:p>
    <w:p>
      <w:pPr>
        <w:rPr>
          <w:rStyle w:val="17"/>
          <w:b w:val="0"/>
          <w:bCs w:val="0"/>
          <w:lang w:eastAsia="zh-CN"/>
        </w:rPr>
      </w:pPr>
    </w:p>
    <w:p>
      <w:pPr>
        <w:rPr>
          <w:rStyle w:val="17"/>
          <w:lang w:eastAsia="zh-CN"/>
        </w:rPr>
      </w:pPr>
      <w:r>
        <w:rPr>
          <w:rStyle w:val="17"/>
          <w:rFonts w:hint="eastAsia"/>
          <w:lang w:eastAsia="zh-CN"/>
        </w:rPr>
        <w:t>两种耳罩设计，契合不同的任务需求</w:t>
      </w:r>
    </w:p>
    <w:p>
      <w:pPr>
        <w:rPr>
          <w:rStyle w:val="17"/>
          <w:b w:val="0"/>
          <w:bCs w:val="0"/>
        </w:rPr>
      </w:pPr>
      <w:r>
        <w:rPr>
          <w:rStyle w:val="17"/>
          <w:rFonts w:hint="eastAsia"/>
          <w:b w:val="0"/>
          <w:bCs w:val="0"/>
          <w:lang w:eastAsia="zh-CN"/>
        </w:rPr>
        <w:t>“在开发HD 490 PRO之前，我们开展了一次专业耳机调</w:t>
      </w:r>
      <w:r>
        <w:rPr>
          <w:rStyle w:val="17"/>
          <w:rFonts w:hint="eastAsia" w:eastAsia="宋体"/>
          <w:b w:val="0"/>
          <w:bCs w:val="0"/>
          <w:lang w:val="en-US" w:eastAsia="zh-CN"/>
        </w:rPr>
        <w:t>研</w:t>
      </w:r>
      <w:r>
        <w:rPr>
          <w:rStyle w:val="17"/>
          <w:rFonts w:hint="eastAsia"/>
          <w:b w:val="0"/>
          <w:bCs w:val="0"/>
          <w:lang w:eastAsia="zh-CN"/>
        </w:rPr>
        <w:t>，规模远超以往，受访用户选出的最重要</w:t>
      </w:r>
      <w:r>
        <w:rPr>
          <w:rStyle w:val="17"/>
          <w:rFonts w:hint="eastAsia" w:eastAsia="宋体"/>
          <w:b w:val="0"/>
          <w:bCs w:val="0"/>
          <w:lang w:val="en-US" w:eastAsia="zh-CN"/>
        </w:rPr>
        <w:t>的</w:t>
      </w:r>
      <w:r>
        <w:rPr>
          <w:rStyle w:val="17"/>
          <w:rFonts w:hint="eastAsia"/>
          <w:b w:val="0"/>
          <w:bCs w:val="0"/>
          <w:lang w:eastAsia="zh-CN"/>
        </w:rPr>
        <w:t>耳机</w:t>
      </w:r>
      <w:r>
        <w:rPr>
          <w:rStyle w:val="17"/>
          <w:rFonts w:hint="eastAsia" w:eastAsia="宋体"/>
          <w:b w:val="0"/>
          <w:bCs w:val="0"/>
          <w:lang w:val="en-US" w:eastAsia="zh-CN"/>
        </w:rPr>
        <w:t>参数</w:t>
      </w:r>
      <w:r>
        <w:rPr>
          <w:rStyle w:val="17"/>
          <w:rFonts w:hint="eastAsia"/>
          <w:b w:val="0"/>
          <w:bCs w:val="0"/>
          <w:lang w:eastAsia="zh-CN"/>
        </w:rPr>
        <w:t>是中性、平直的基准音频。”Dirks解释说，“但是，当我们分析了市场数据后，我们发现</w:t>
      </w:r>
      <w:r>
        <w:rPr>
          <w:rStyle w:val="17"/>
          <w:rFonts w:hint="eastAsia" w:eastAsia="宋体"/>
          <w:b w:val="0"/>
          <w:bCs w:val="0"/>
          <w:lang w:eastAsia="zh-CN"/>
        </w:rPr>
        <w:t>，</w:t>
      </w:r>
      <w:r>
        <w:rPr>
          <w:rStyle w:val="17"/>
          <w:rFonts w:hint="eastAsia" w:eastAsia="宋体"/>
          <w:b w:val="0"/>
          <w:bCs w:val="0"/>
          <w:lang w:val="en-US" w:eastAsia="zh-CN"/>
        </w:rPr>
        <w:t>与</w:t>
      </w:r>
      <w:r>
        <w:rPr>
          <w:rStyle w:val="17"/>
          <w:rFonts w:hint="eastAsia"/>
          <w:b w:val="0"/>
          <w:bCs w:val="0"/>
          <w:lang w:eastAsia="zh-CN"/>
        </w:rPr>
        <w:t>100%中性</w:t>
      </w:r>
      <w:r>
        <w:rPr>
          <w:rStyle w:val="17"/>
          <w:rFonts w:hint="eastAsia" w:eastAsia="宋体"/>
          <w:b w:val="0"/>
          <w:bCs w:val="0"/>
          <w:lang w:val="en-US" w:eastAsia="zh-CN"/>
        </w:rPr>
        <w:t>的</w:t>
      </w:r>
      <w:r>
        <w:rPr>
          <w:rStyle w:val="17"/>
          <w:rFonts w:hint="eastAsia"/>
          <w:b w:val="0"/>
          <w:bCs w:val="0"/>
          <w:lang w:eastAsia="zh-CN"/>
        </w:rPr>
        <w:t>响应</w:t>
      </w:r>
      <w:r>
        <w:rPr>
          <w:rStyle w:val="17"/>
          <w:rFonts w:hint="eastAsia" w:eastAsia="宋体"/>
          <w:b w:val="0"/>
          <w:bCs w:val="0"/>
          <w:lang w:val="en-US" w:eastAsia="zh-CN"/>
        </w:rPr>
        <w:t>相比，</w:t>
      </w:r>
      <w:r>
        <w:rPr>
          <w:rStyle w:val="17"/>
          <w:rFonts w:hint="eastAsia"/>
          <w:b w:val="0"/>
          <w:bCs w:val="0"/>
          <w:lang w:eastAsia="zh-CN"/>
        </w:rPr>
        <w:t>人们更</w:t>
      </w:r>
      <w:r>
        <w:rPr>
          <w:rStyle w:val="17"/>
          <w:rFonts w:hint="eastAsia" w:eastAsia="宋体"/>
          <w:b w:val="0"/>
          <w:bCs w:val="0"/>
          <w:lang w:val="en-US" w:eastAsia="zh-CN"/>
        </w:rPr>
        <w:t>偏爱稍微</w:t>
      </w:r>
      <w:r>
        <w:rPr>
          <w:rStyle w:val="17"/>
          <w:rFonts w:hint="eastAsia"/>
          <w:b w:val="0"/>
          <w:bCs w:val="0"/>
          <w:lang w:eastAsia="zh-CN"/>
        </w:rPr>
        <w:t>暖</w:t>
      </w:r>
      <w:r>
        <w:rPr>
          <w:rStyle w:val="17"/>
          <w:rFonts w:hint="eastAsia" w:eastAsia="宋体"/>
          <w:b w:val="0"/>
          <w:bCs w:val="0"/>
          <w:lang w:val="en-US" w:eastAsia="zh-CN"/>
        </w:rPr>
        <w:t>一些</w:t>
      </w:r>
      <w:r>
        <w:rPr>
          <w:rStyle w:val="17"/>
          <w:rFonts w:hint="eastAsia"/>
          <w:b w:val="0"/>
          <w:bCs w:val="0"/>
          <w:lang w:eastAsia="zh-CN"/>
        </w:rPr>
        <w:t>的声音。因此，我们决定通过提供两副精心设计的不同耳罩，在一款耳机中为用户呈现两种不同的音色。</w:t>
      </w:r>
      <w:r>
        <w:rPr>
          <w:rStyle w:val="17"/>
          <w:rFonts w:hint="eastAsia"/>
          <w:b w:val="0"/>
          <w:bCs w:val="0"/>
        </w:rPr>
        <w:t>”</w:t>
      </w:r>
    </w:p>
    <w:p>
      <w:pPr>
        <w:rPr>
          <w:rStyle w:val="17"/>
          <w:b w:val="0"/>
          <w:bCs w:val="0"/>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35"/>
        <w:gridCol w:w="3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35" w:type="dxa"/>
          </w:tcPr>
          <w:p>
            <w:pPr>
              <w:pStyle w:val="6"/>
              <w:rPr>
                <w:rStyle w:val="17"/>
                <w:b w:val="0"/>
                <w:bCs w:val="0"/>
              </w:rPr>
            </w:pPr>
            <w:r>
              <w:drawing>
                <wp:inline distT="0" distB="0" distL="0" distR="0">
                  <wp:extent cx="2186305" cy="1129665"/>
                  <wp:effectExtent l="0" t="0" r="4445" b="0"/>
                  <wp:docPr id="346044733" name="Grafik 3460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44733" name="Grafik 346044733"/>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l="3237"/>
                          <a:stretch>
                            <a:fillRect/>
                          </a:stretch>
                        </pic:blipFill>
                        <pic:spPr>
                          <a:xfrm>
                            <a:off x="0" y="0"/>
                            <a:ext cx="2210536" cy="1142042"/>
                          </a:xfrm>
                          <a:prstGeom prst="rect">
                            <a:avLst/>
                          </a:prstGeom>
                          <a:noFill/>
                          <a:ln>
                            <a:noFill/>
                          </a:ln>
                        </pic:spPr>
                      </pic:pic>
                    </a:graphicData>
                  </a:graphic>
                </wp:inline>
              </w:drawing>
            </w:r>
          </w:p>
          <w:p>
            <w:pPr>
              <w:pStyle w:val="6"/>
              <w:rPr>
                <w:rStyle w:val="17"/>
                <w:b w:val="0"/>
                <w:bCs w:val="0"/>
                <w:lang w:eastAsia="zh-CN"/>
              </w:rPr>
            </w:pPr>
            <w:r>
              <w:rPr>
                <w:rStyle w:val="17"/>
                <w:rFonts w:hint="eastAsia"/>
                <w:b w:val="0"/>
                <w:bCs w:val="0"/>
                <w:lang w:eastAsia="zh-CN"/>
              </w:rPr>
              <w:t>制作用耳罩（丝绒材质）</w:t>
            </w:r>
          </w:p>
        </w:tc>
        <w:tc>
          <w:tcPr>
            <w:tcW w:w="3935" w:type="dxa"/>
          </w:tcPr>
          <w:p>
            <w:pPr>
              <w:pStyle w:val="6"/>
              <w:rPr>
                <w:rStyle w:val="17"/>
                <w:b w:val="0"/>
                <w:bCs w:val="0"/>
              </w:rPr>
            </w:pPr>
            <w:r>
              <w:drawing>
                <wp:inline distT="0" distB="0" distL="0" distR="0">
                  <wp:extent cx="2214880" cy="1144270"/>
                  <wp:effectExtent l="0" t="0" r="0" b="0"/>
                  <wp:docPr id="1522614107" name="Grafik 1522614107" descr="Ein Bild, das Reihe, Diagramm,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14107" name="Grafik 1522614107" descr="Ein Bild, das Reihe, Diagramm, parallel, Text enthält.&#10;&#10;Automatisch generierte Beschreibu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l="3196"/>
                          <a:stretch>
                            <a:fillRect/>
                          </a:stretch>
                        </pic:blipFill>
                        <pic:spPr>
                          <a:xfrm>
                            <a:off x="0" y="0"/>
                            <a:ext cx="2216469" cy="1144829"/>
                          </a:xfrm>
                          <a:prstGeom prst="rect">
                            <a:avLst/>
                          </a:prstGeom>
                          <a:noFill/>
                          <a:ln>
                            <a:noFill/>
                          </a:ln>
                        </pic:spPr>
                      </pic:pic>
                    </a:graphicData>
                  </a:graphic>
                </wp:inline>
              </w:drawing>
            </w:r>
          </w:p>
          <w:p>
            <w:pPr>
              <w:pStyle w:val="6"/>
              <w:rPr>
                <w:rStyle w:val="17"/>
                <w:b w:val="0"/>
                <w:bCs w:val="0"/>
                <w:lang w:eastAsia="zh-CN"/>
              </w:rPr>
            </w:pPr>
            <w:r>
              <w:rPr>
                <w:rStyle w:val="17"/>
                <w:rFonts w:hint="eastAsia"/>
                <w:b w:val="0"/>
                <w:bCs w:val="0"/>
                <w:lang w:eastAsia="zh-CN"/>
              </w:rPr>
              <w:t>混音用耳罩（织物材质）</w:t>
            </w:r>
            <w:r>
              <w:rPr>
                <w:rStyle w:val="17"/>
                <w:b w:val="0"/>
                <w:bCs w:val="0"/>
                <w:lang w:eastAsia="zh-CN"/>
              </w:rPr>
              <w:t xml:space="preserve"> </w:t>
            </w:r>
          </w:p>
        </w:tc>
      </w:tr>
    </w:tbl>
    <w:p>
      <w:pPr>
        <w:rPr>
          <w:rStyle w:val="17"/>
          <w:b w:val="0"/>
          <w:bCs w:val="0"/>
          <w:lang w:eastAsia="zh-CN"/>
        </w:rPr>
      </w:pPr>
    </w:p>
    <w:p>
      <w:pPr>
        <w:rPr>
          <w:lang w:eastAsia="zh-CN"/>
        </w:rPr>
      </w:pPr>
      <w:r>
        <w:rPr>
          <w:rStyle w:val="17"/>
          <w:rFonts w:hint="eastAsia"/>
          <w:b w:val="0"/>
          <w:bCs w:val="0"/>
          <w:lang w:eastAsia="zh-CN"/>
        </w:rPr>
        <w:t>HD 490 PRO的制作用耳罩（丝绒材质）的响应音色略微偏暖，可呈现出整体效果，帮助用户对声音做出整体判断。而混音用耳罩（织物材质）</w:t>
      </w:r>
      <w:r>
        <w:rPr>
          <w:rFonts w:hint="eastAsia"/>
          <w:lang w:eastAsia="zh-CN"/>
        </w:rPr>
        <w:t>则可以呈现出非常平直、中性的声音，有助于深入探究细节，在混音收尾过程中获得声音参考。两款耳罩均可清洗，</w:t>
      </w:r>
      <w:r>
        <w:rPr>
          <w:rFonts w:hint="eastAsia" w:eastAsia="宋体"/>
          <w:lang w:val="en-US" w:eastAsia="zh-CN"/>
        </w:rPr>
        <w:t>是既</w:t>
      </w:r>
      <w:r>
        <w:rPr>
          <w:rFonts w:hint="eastAsia"/>
          <w:lang w:eastAsia="zh-CN"/>
        </w:rPr>
        <w:t>卫生又可持续的解决方案。</w:t>
      </w:r>
    </w:p>
    <w:p>
      <w:pPr>
        <w:rPr>
          <w:lang w:eastAsia="zh-CN"/>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3140"/>
        <w:gridCol w:w="4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08" w:type="dxa"/>
          </w:tblCellMar>
        </w:tblPrEx>
        <w:tc>
          <w:tcPr>
            <w:tcW w:w="3935" w:type="dxa"/>
          </w:tcPr>
          <w:p>
            <w:pPr>
              <w:pStyle w:val="6"/>
              <w:rPr>
                <w:lang w:eastAsia="zh-CN"/>
              </w:rPr>
            </w:pPr>
            <w:r>
              <w:rPr>
                <w:rFonts w:hint="eastAsia"/>
                <w:lang w:eastAsia="zh-CN"/>
              </w:rPr>
              <w:t>耳罩的类型对声音再现有</w:t>
            </w:r>
            <w:r>
              <w:rPr>
                <w:rFonts w:hint="eastAsia" w:eastAsia="宋体"/>
                <w:lang w:val="en-US" w:eastAsia="zh-CN"/>
              </w:rPr>
              <w:t>着巨大的</w:t>
            </w:r>
            <w:r>
              <w:rPr>
                <w:rFonts w:hint="eastAsia"/>
                <w:lang w:eastAsia="zh-CN"/>
              </w:rPr>
              <w:t>影响，HD 490 PRO为用户提供了两全其美的选择。制作用耳罩的再现音色略微偏暖，而混音用耳罩则有助于深入探究各个频率。</w:t>
            </w:r>
          </w:p>
        </w:tc>
        <w:tc>
          <w:tcPr>
            <w:tcW w:w="3935" w:type="dxa"/>
          </w:tcPr>
          <w:p>
            <w:pPr>
              <w:pStyle w:val="6"/>
            </w:pPr>
            <w:r>
              <w:drawing>
                <wp:inline distT="0" distB="0" distL="0" distR="0">
                  <wp:extent cx="3004185" cy="2252980"/>
                  <wp:effectExtent l="0" t="0" r="5715" b="0"/>
                  <wp:docPr id="21195036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3606" name="Grafik 7"/>
                          <pic:cNvPicPr>
                            <a:picLocks noChangeAspect="1"/>
                          </pic:cNvPicPr>
                        </pic:nvPicPr>
                        <pic:blipFill>
                          <a:blip r:embed="rId17"/>
                          <a:stretch>
                            <a:fillRect/>
                          </a:stretch>
                        </pic:blipFill>
                        <pic:spPr>
                          <a:xfrm>
                            <a:off x="0" y="0"/>
                            <a:ext cx="3010966" cy="2258223"/>
                          </a:xfrm>
                          <a:prstGeom prst="rect">
                            <a:avLst/>
                          </a:prstGeom>
                        </pic:spPr>
                      </pic:pic>
                    </a:graphicData>
                  </a:graphic>
                </wp:inline>
              </w:drawing>
            </w:r>
          </w:p>
        </w:tc>
      </w:tr>
    </w:tbl>
    <w:p/>
    <w:p>
      <w:pPr>
        <w:rPr>
          <w:rStyle w:val="17"/>
          <w:lang w:eastAsia="zh-CN"/>
        </w:rPr>
      </w:pPr>
      <w:r>
        <w:rPr>
          <w:rStyle w:val="17"/>
          <w:rFonts w:hint="eastAsia"/>
          <w:lang w:eastAsia="zh-CN"/>
        </w:rPr>
        <w:t>随附dearVR MIX-SE许可证</w:t>
      </w:r>
    </w:p>
    <w:p>
      <w:pPr>
        <w:rPr>
          <w:rStyle w:val="17"/>
          <w:b w:val="0"/>
          <w:bCs w:val="0"/>
          <w:lang w:eastAsia="zh-CN"/>
        </w:rPr>
      </w:pPr>
      <w:r>
        <w:rPr>
          <w:rStyle w:val="17"/>
          <w:rFonts w:hint="eastAsia"/>
          <w:b w:val="0"/>
          <w:bCs w:val="0"/>
          <w:lang w:eastAsia="zh-CN"/>
        </w:rPr>
        <w:t>HD 490 PRO包含一张Dear Reality创新插件dearVR MIX-SE的免费许可证。该插件可将DAW转变为非同凡响的虚拟混音环境，</w:t>
      </w:r>
      <w:r>
        <w:rPr>
          <w:rStyle w:val="17"/>
          <w:rFonts w:hint="eastAsia" w:eastAsia="宋体"/>
          <w:b w:val="0"/>
          <w:bCs w:val="0"/>
          <w:lang w:val="en-US" w:eastAsia="zh-CN"/>
        </w:rPr>
        <w:t>模拟出</w:t>
      </w:r>
      <w:r>
        <w:rPr>
          <w:rStyle w:val="17"/>
          <w:rFonts w:hint="eastAsia"/>
          <w:b w:val="0"/>
          <w:bCs w:val="0"/>
          <w:lang w:eastAsia="zh-CN"/>
        </w:rPr>
        <w:t>理想混音棚所拥有的精心设计的声学效果。dearVR MIX-SE不仅能将工程师或音乐</w:t>
      </w:r>
      <w:r>
        <w:rPr>
          <w:rStyle w:val="17"/>
          <w:rFonts w:hint="eastAsia" w:eastAsia="宋体"/>
          <w:b w:val="0"/>
          <w:bCs w:val="0"/>
          <w:lang w:val="en-US" w:eastAsia="zh-CN"/>
        </w:rPr>
        <w:t>人</w:t>
      </w:r>
      <w:r>
        <w:rPr>
          <w:rStyle w:val="17"/>
          <w:rFonts w:hint="eastAsia"/>
          <w:b w:val="0"/>
          <w:bCs w:val="0"/>
          <w:lang w:eastAsia="zh-CN"/>
        </w:rPr>
        <w:t xml:space="preserve">置于最佳听音位置，还能帮助他们在不同的系统上实现均衡、一致的混音效果。 </w:t>
      </w:r>
    </w:p>
    <w:p>
      <w:pPr>
        <w:rPr>
          <w:rStyle w:val="17"/>
          <w:b w:val="0"/>
          <w:bCs w:val="0"/>
          <w:lang w:eastAsia="zh-CN"/>
        </w:rPr>
      </w:pPr>
    </w:p>
    <w:p>
      <w:pPr>
        <w:tabs>
          <w:tab w:val="left" w:pos="5345"/>
        </w:tabs>
        <w:rPr>
          <w:rStyle w:val="17"/>
          <w:lang w:eastAsia="zh-CN"/>
        </w:rPr>
      </w:pPr>
      <w:r>
        <w:rPr>
          <w:rStyle w:val="17"/>
          <w:rFonts w:hint="eastAsia"/>
          <w:lang w:eastAsia="zh-CN"/>
        </w:rPr>
        <w:t xml:space="preserve">专注细节 </w:t>
      </w:r>
    </w:p>
    <w:p>
      <w:pPr>
        <w:rPr>
          <w:rStyle w:val="17"/>
          <w:b w:val="0"/>
          <w:bCs w:val="0"/>
          <w:lang w:eastAsia="zh-CN"/>
        </w:rPr>
      </w:pPr>
      <w:r>
        <w:rPr>
          <w:rStyle w:val="17"/>
          <w:rFonts w:hint="eastAsia"/>
          <w:b w:val="0"/>
          <w:bCs w:val="0"/>
          <w:lang w:eastAsia="zh-CN"/>
        </w:rPr>
        <w:t>这款旗舰录音棚监听耳机的设计巧思远不止于</w:t>
      </w:r>
      <w:r>
        <w:rPr>
          <w:rStyle w:val="17"/>
          <w:rFonts w:hint="eastAsia" w:eastAsia="宋体"/>
          <w:b w:val="0"/>
          <w:bCs w:val="0"/>
          <w:lang w:val="en-US" w:eastAsia="zh-CN"/>
        </w:rPr>
        <w:t>配件</w:t>
      </w:r>
      <w:r>
        <w:rPr>
          <w:rStyle w:val="17"/>
          <w:rFonts w:hint="eastAsia"/>
          <w:b w:val="0"/>
          <w:bCs w:val="0"/>
          <w:lang w:eastAsia="zh-CN"/>
        </w:rPr>
        <w:t>方面。例如，HD 490 PRO耳机的左右两侧均可插接耳机线，</w:t>
      </w:r>
      <w:r>
        <w:rPr>
          <w:rStyle w:val="17"/>
          <w:rFonts w:hint="eastAsia" w:eastAsia="宋体"/>
          <w:b w:val="0"/>
          <w:bCs w:val="0"/>
          <w:lang w:val="en-US" w:eastAsia="zh-CN"/>
        </w:rPr>
        <w:t>以</w:t>
      </w:r>
      <w:r>
        <w:rPr>
          <w:rStyle w:val="17"/>
          <w:rFonts w:hint="eastAsia"/>
          <w:b w:val="0"/>
          <w:bCs w:val="0"/>
          <w:lang w:eastAsia="zh-CN"/>
        </w:rPr>
        <w:t>满足不同的录音棚设置和个人偏好。获得专利的耳机线线圈结构确保</w:t>
      </w:r>
      <w:r>
        <w:rPr>
          <w:rStyle w:val="17"/>
          <w:rFonts w:hint="eastAsia" w:eastAsia="宋体"/>
          <w:b w:val="0"/>
          <w:bCs w:val="0"/>
          <w:lang w:val="en-US" w:eastAsia="zh-CN"/>
        </w:rPr>
        <w:t>了线缆</w:t>
      </w:r>
      <w:r>
        <w:rPr>
          <w:rStyle w:val="17"/>
          <w:rFonts w:hint="eastAsia"/>
          <w:b w:val="0"/>
          <w:bCs w:val="0"/>
          <w:lang w:eastAsia="zh-CN"/>
        </w:rPr>
        <w:t>不会因碰到桌面或与衣服摩擦而</w:t>
      </w:r>
      <w:r>
        <w:rPr>
          <w:rStyle w:val="17"/>
          <w:rFonts w:hint="eastAsia" w:eastAsia="宋体"/>
          <w:b w:val="0"/>
          <w:bCs w:val="0"/>
          <w:lang w:val="en-US" w:eastAsia="zh-CN"/>
        </w:rPr>
        <w:t>传输任何</w:t>
      </w:r>
      <w:r>
        <w:rPr>
          <w:rStyle w:val="17"/>
          <w:rFonts w:hint="eastAsia"/>
          <w:b w:val="0"/>
          <w:bCs w:val="0"/>
          <w:lang w:eastAsia="zh-CN"/>
        </w:rPr>
        <w:t xml:space="preserve">噪声。在左右换能器的内部防尘盖上，可以清晰看到指明“左”/“右”的标识，单元框架上还印有盲文信息，方便视力受损的人士使用。 </w:t>
      </w:r>
    </w:p>
    <w:p>
      <w:pPr>
        <w:rPr>
          <w:lang w:eastAsia="zh-CN"/>
        </w:rPr>
      </w:pPr>
    </w:p>
    <w:p>
      <w:pPr>
        <w:rPr>
          <w:lang w:eastAsia="zh-CN"/>
        </w:rPr>
      </w:pPr>
      <w:r>
        <w:rPr>
          <w:rFonts w:hint="eastAsia"/>
          <w:lang w:eastAsia="zh-CN"/>
        </w:rPr>
        <w:t>每个HD 490 PRO都配有两套不同的耳罩（混音用和制作用）、</w:t>
      </w:r>
      <w:r>
        <w:rPr>
          <w:rFonts w:hint="eastAsia" w:eastAsia="宋体"/>
          <w:lang w:val="en-US" w:eastAsia="zh-CN"/>
        </w:rPr>
        <w:t>一根</w:t>
      </w:r>
      <w:r>
        <w:rPr>
          <w:rFonts w:hint="eastAsia"/>
          <w:lang w:eastAsia="zh-CN"/>
        </w:rPr>
        <w:t>1.8米长的耳机线和dearVR MIX-SE许可证。HD 490 PRO Plus套装额外包含一根3米长的线缆、一个便携收纳包，以及一个额外的织物头梁垫（标准版为丝绒头梁垫）。Plus套装的所有额外</w:t>
      </w:r>
      <w:r>
        <w:rPr>
          <w:rFonts w:hint="eastAsia" w:eastAsia="宋体"/>
          <w:lang w:val="en-US" w:eastAsia="zh-CN"/>
        </w:rPr>
        <w:t>配件均可</w:t>
      </w:r>
      <w:r>
        <w:rPr>
          <w:rFonts w:hint="eastAsia"/>
          <w:lang w:eastAsia="zh-CN"/>
        </w:rPr>
        <w:t>单独购买。平衡耳机线为可选附件。</w:t>
      </w:r>
    </w:p>
    <w:p>
      <w:pPr>
        <w:rPr>
          <w:lang w:eastAsia="zh-CN"/>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4916"/>
        <w:gridCol w:w="3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08" w:type="dxa"/>
          </w:tblCellMar>
        </w:tblPrEx>
        <w:tc>
          <w:tcPr>
            <w:tcW w:w="3935" w:type="dxa"/>
          </w:tcPr>
          <w:p>
            <w:pPr>
              <w:pStyle w:val="6"/>
            </w:pPr>
            <w:r>
              <w:drawing>
                <wp:inline distT="0" distB="0" distL="0" distR="0">
                  <wp:extent cx="3053080" cy="2035175"/>
                  <wp:effectExtent l="0" t="0" r="0" b="3175"/>
                  <wp:docPr id="164234928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49287" name="Grafik 8"/>
                          <pic:cNvPicPr>
                            <a:picLocks noChangeAspect="1"/>
                          </pic:cNvPicPr>
                        </pic:nvPicPr>
                        <pic:blipFill>
                          <a:blip r:embed="rId18"/>
                          <a:stretch>
                            <a:fillRect/>
                          </a:stretch>
                        </pic:blipFill>
                        <pic:spPr>
                          <a:xfrm>
                            <a:off x="0" y="0"/>
                            <a:ext cx="3055464" cy="2036847"/>
                          </a:xfrm>
                          <a:prstGeom prst="rect">
                            <a:avLst/>
                          </a:prstGeom>
                        </pic:spPr>
                      </pic:pic>
                    </a:graphicData>
                  </a:graphic>
                </wp:inline>
              </w:drawing>
            </w:r>
          </w:p>
        </w:tc>
        <w:tc>
          <w:tcPr>
            <w:tcW w:w="3935" w:type="dxa"/>
          </w:tcPr>
          <w:p>
            <w:pPr>
              <w:pStyle w:val="6"/>
              <w:rPr>
                <w:lang w:eastAsia="zh-CN"/>
              </w:rPr>
            </w:pPr>
            <w:r>
              <w:rPr>
                <w:rFonts w:hint="eastAsia"/>
                <w:lang w:eastAsia="zh-CN"/>
              </w:rPr>
              <w:t>HD 490 PRO Plus套装（如图）包括一个</w:t>
            </w:r>
            <w:r>
              <w:rPr>
                <w:rFonts w:hint="eastAsia" w:eastAsia="宋体"/>
                <w:lang w:val="en-US" w:eastAsia="zh-CN"/>
              </w:rPr>
              <w:t>便携收纳</w:t>
            </w:r>
            <w:r>
              <w:rPr>
                <w:rFonts w:hint="eastAsia"/>
                <w:lang w:eastAsia="zh-CN"/>
              </w:rPr>
              <w:t>包、一条额外的3米耳机线和一个额外的织物头梁垫。</w:t>
            </w:r>
          </w:p>
        </w:tc>
      </w:tr>
    </w:tbl>
    <w:p>
      <w:pPr>
        <w:rPr>
          <w:lang w:eastAsia="zh-CN"/>
        </w:rPr>
      </w:pPr>
    </w:p>
    <w:p>
      <w:pPr>
        <w:rPr>
          <w:rFonts w:eastAsia="宋体"/>
          <w:lang w:eastAsia="zh-CN"/>
        </w:rPr>
      </w:pPr>
      <w:r>
        <w:rPr>
          <w:rFonts w:hint="eastAsia"/>
          <w:lang w:eastAsia="zh-CN"/>
        </w:rPr>
        <w:t>“如果您</w:t>
      </w:r>
      <w:r>
        <w:rPr>
          <w:rFonts w:hint="eastAsia" w:eastAsia="宋体"/>
          <w:lang w:val="en-US" w:eastAsia="zh-CN"/>
        </w:rPr>
        <w:t>正在</w:t>
      </w:r>
      <w:r>
        <w:rPr>
          <w:rFonts w:hint="eastAsia"/>
          <w:lang w:eastAsia="zh-CN"/>
        </w:rPr>
        <w:t>寻找一款能够</w:t>
      </w:r>
      <w:r>
        <w:rPr>
          <w:rFonts w:hint="eastAsia" w:eastAsia="宋体"/>
          <w:lang w:val="en-US" w:eastAsia="zh-CN"/>
        </w:rPr>
        <w:t>提供卓越的</w:t>
      </w:r>
      <w:r>
        <w:rPr>
          <w:rFonts w:hint="eastAsia"/>
          <w:lang w:eastAsia="zh-CN"/>
        </w:rPr>
        <w:t>透明度和定位表现的录音棚监听耳机，从而帮助您制作出色混音作品，HD 490 PRO就是</w:t>
      </w:r>
      <w:r>
        <w:rPr>
          <w:rFonts w:hint="eastAsia" w:eastAsia="宋体"/>
          <w:lang w:val="en-US" w:eastAsia="zh-CN"/>
        </w:rPr>
        <w:t>理想</w:t>
      </w:r>
      <w:r>
        <w:rPr>
          <w:rFonts w:hint="eastAsia"/>
          <w:lang w:eastAsia="zh-CN"/>
        </w:rPr>
        <w:t>之选。”Jimmy Landry表示</w:t>
      </w:r>
      <w:r>
        <w:rPr>
          <w:rFonts w:hint="eastAsia" w:eastAsia="宋体"/>
          <w:lang w:eastAsia="zh-CN"/>
        </w:rPr>
        <w:t>。</w:t>
      </w:r>
    </w:p>
    <w:p>
      <w:pPr>
        <w:rPr>
          <w:lang w:eastAsia="zh-CN"/>
        </w:rPr>
      </w:pPr>
    </w:p>
    <w:p>
      <w:pPr>
        <w:rPr>
          <w:lang w:eastAsia="zh-CN"/>
        </w:rPr>
      </w:pPr>
      <w:r>
        <w:rPr>
          <w:rFonts w:hint="eastAsia"/>
          <w:lang w:eastAsia="zh-CN"/>
        </w:rPr>
        <w:t>（正文结束）</w:t>
      </w:r>
    </w:p>
    <w:p>
      <w:pPr>
        <w:rPr>
          <w:lang w:eastAsia="zh-CN"/>
        </w:rPr>
      </w:pPr>
    </w:p>
    <w:p>
      <w:pPr>
        <w:rPr>
          <w:b/>
          <w:bCs/>
          <w:lang w:eastAsia="zh-CN"/>
        </w:rPr>
      </w:pPr>
      <w:r>
        <w:rPr>
          <w:rFonts w:hint="eastAsia"/>
          <w:b/>
          <w:lang w:eastAsia="zh-CN"/>
        </w:rPr>
        <w:t>HD 490 PRO技术数据</w:t>
      </w:r>
    </w:p>
    <w:p>
      <w:pPr>
        <w:rPr>
          <w:lang w:eastAsia="zh-CN"/>
        </w:rPr>
      </w:pPr>
      <w:r>
        <w:rPr>
          <w:rFonts w:hint="eastAsia"/>
          <w:lang w:eastAsia="zh-CN"/>
        </w:rPr>
        <w:t>声学原理：开放式</w:t>
      </w:r>
    </w:p>
    <w:p>
      <w:pPr>
        <w:rPr>
          <w:lang w:eastAsia="zh-CN"/>
        </w:rPr>
      </w:pPr>
      <w:r>
        <w:rPr>
          <w:rFonts w:hint="eastAsia"/>
          <w:lang w:eastAsia="zh-CN"/>
        </w:rPr>
        <w:t>耳罩形式：包耳式</w:t>
      </w:r>
    </w:p>
    <w:p>
      <w:pPr>
        <w:rPr>
          <w:lang w:eastAsia="zh-CN"/>
        </w:rPr>
      </w:pPr>
      <w:r>
        <w:rPr>
          <w:rFonts w:hint="eastAsia"/>
          <w:lang w:eastAsia="zh-CN"/>
        </w:rPr>
        <w:t>换能器原理：动圈</w:t>
      </w:r>
    </w:p>
    <w:p>
      <w:pPr>
        <w:rPr>
          <w:lang w:eastAsia="zh-CN"/>
        </w:rPr>
      </w:pPr>
      <w:r>
        <w:rPr>
          <w:rFonts w:hint="eastAsia"/>
          <w:lang w:eastAsia="zh-CN"/>
        </w:rPr>
        <w:t>换能器直径：38</w:t>
      </w:r>
      <w:r>
        <w:rPr>
          <w:lang w:eastAsia="zh-CN"/>
        </w:rPr>
        <w:t xml:space="preserve"> mm</w:t>
      </w:r>
    </w:p>
    <w:p>
      <w:pPr>
        <w:rPr>
          <w:lang w:eastAsia="zh-CN"/>
        </w:rPr>
      </w:pPr>
      <w:r>
        <w:rPr>
          <w:rFonts w:hint="eastAsia"/>
          <w:lang w:eastAsia="zh-CN"/>
        </w:rPr>
        <w:t>频率响应：5 – 36,000 Hz，100 Hz (-10 dB)</w:t>
      </w:r>
    </w:p>
    <w:p>
      <w:r>
        <w:rPr>
          <w:rFonts w:hint="eastAsia"/>
        </w:rPr>
        <w:t>灵敏度：105 dB SPL (1 kHz/1 V</w:t>
      </w:r>
      <w:r>
        <w:rPr>
          <w:rFonts w:hint="eastAsia"/>
          <w:vertAlign w:val="subscript"/>
        </w:rPr>
        <w:t>rms</w:t>
      </w:r>
      <w:r>
        <w:rPr>
          <w:rFonts w:hint="eastAsia"/>
        </w:rPr>
        <w:t>)；96 dB SPL (1 kHz/1 mW)</w:t>
      </w:r>
    </w:p>
    <w:p>
      <w:r>
        <w:rPr>
          <w:rFonts w:hint="eastAsia"/>
        </w:rPr>
        <w:t>最大声压级：128 dB SPL（1 kHz，5% THD）</w:t>
      </w:r>
    </w:p>
    <w:p>
      <w:r>
        <w:rPr>
          <w:rFonts w:hint="eastAsia"/>
        </w:rPr>
        <w:t>THD：&lt;0.2%（1 kHz，100 dB SPL）</w:t>
      </w:r>
    </w:p>
    <w:p>
      <w:pPr>
        <w:rPr>
          <w:lang w:eastAsia="zh-CN"/>
        </w:rPr>
      </w:pPr>
      <w:r>
        <w:rPr>
          <w:rFonts w:hint="eastAsia"/>
          <w:lang w:eastAsia="zh-CN"/>
        </w:rPr>
        <w:t xml:space="preserve">阻抗：130 </w:t>
      </w:r>
      <w:r>
        <w:t>ohms</w:t>
      </w:r>
      <w:r>
        <w:rPr>
          <w:rFonts w:hint="eastAsia"/>
          <w:lang w:eastAsia="zh-CN"/>
        </w:rPr>
        <w:t>（1 kHz）</w:t>
      </w:r>
    </w:p>
    <w:p>
      <w:pPr>
        <w:rPr>
          <w:lang w:eastAsia="zh-CN"/>
        </w:rPr>
      </w:pPr>
      <w:r>
        <w:rPr>
          <w:rFonts w:hint="eastAsia"/>
          <w:lang w:eastAsia="zh-CN"/>
        </w:rPr>
        <w:t>额定功率：300 mW（100 h，噪声IEC 60268）</w:t>
      </w:r>
    </w:p>
    <w:p>
      <w:pPr>
        <w:rPr>
          <w:lang w:eastAsia="zh-CN"/>
        </w:rPr>
      </w:pPr>
      <w:r>
        <w:rPr>
          <w:rFonts w:hint="eastAsia"/>
          <w:lang w:eastAsia="zh-CN"/>
        </w:rPr>
        <w:t>温度范围：工作温度：0</w:t>
      </w:r>
      <w:r>
        <w:rPr>
          <w:lang w:eastAsia="zh-CN"/>
        </w:rPr>
        <w:t>° C</w:t>
      </w:r>
      <w:r>
        <w:rPr>
          <w:rFonts w:hint="eastAsia"/>
          <w:lang w:eastAsia="zh-CN"/>
        </w:rPr>
        <w:t xml:space="preserve"> 至 +50</w:t>
      </w:r>
      <w:r>
        <w:rPr>
          <w:lang w:eastAsia="zh-CN"/>
        </w:rPr>
        <w:t>° C</w:t>
      </w:r>
      <w:r>
        <w:rPr>
          <w:rFonts w:hint="eastAsia"/>
          <w:lang w:eastAsia="zh-CN"/>
        </w:rPr>
        <w:t>；存储温度：-25</w:t>
      </w:r>
      <w:r>
        <w:rPr>
          <w:lang w:eastAsia="zh-CN"/>
        </w:rPr>
        <w:t>° C</w:t>
      </w:r>
      <w:r>
        <w:rPr>
          <w:rFonts w:hint="eastAsia"/>
          <w:lang w:eastAsia="zh-CN"/>
        </w:rPr>
        <w:t xml:space="preserve"> 至 +70</w:t>
      </w:r>
      <w:r>
        <w:rPr>
          <w:lang w:eastAsia="zh-CN"/>
        </w:rPr>
        <w:t>° C</w:t>
      </w:r>
    </w:p>
    <w:p>
      <w:pPr>
        <w:rPr>
          <w:lang w:eastAsia="zh-CN"/>
        </w:rPr>
      </w:pPr>
      <w:r>
        <w:rPr>
          <w:rFonts w:hint="eastAsia"/>
          <w:lang w:eastAsia="zh-CN"/>
        </w:rPr>
        <w:t>相对湿度：工作湿度：10 - 80%（无冷凝）；存储湿度：10%至90%</w:t>
      </w:r>
    </w:p>
    <w:p>
      <w:pPr>
        <w:rPr>
          <w:lang w:eastAsia="zh-CN"/>
        </w:rPr>
      </w:pPr>
      <w:r>
        <w:rPr>
          <w:rFonts w:hint="eastAsia"/>
          <w:lang w:eastAsia="zh-CN"/>
        </w:rPr>
        <w:t>重量（不含线缆）：260克</w:t>
      </w:r>
    </w:p>
    <w:p>
      <w:pPr>
        <w:rPr>
          <w:lang w:eastAsia="zh-CN"/>
        </w:rPr>
      </w:pPr>
    </w:p>
    <w:p>
      <w:pPr>
        <w:rPr>
          <w:lang w:eastAsia="zh-CN"/>
        </w:rPr>
      </w:pPr>
    </w:p>
    <w:p>
      <w:pPr>
        <w:rPr>
          <w:lang w:eastAsia="zh-CN"/>
        </w:rPr>
      </w:pPr>
      <w:r>
        <w:rPr>
          <w:rFonts w:hint="eastAsia"/>
          <w:lang w:eastAsia="zh-CN"/>
        </w:rPr>
        <w:t>本篇媒体新闻稿中图片及更多图片选择可</w:t>
      </w:r>
      <w:r>
        <w:fldChar w:fldCharType="begin"/>
      </w:r>
      <w:r>
        <w:instrText xml:space="preserve"> HYPERLINK "https://sennheiser-brandzone.com/share/9rLzyfgDmjeweGRbafS6" </w:instrText>
      </w:r>
      <w:r>
        <w:fldChar w:fldCharType="separate"/>
      </w:r>
      <w:r>
        <w:rPr>
          <w:rStyle w:val="18"/>
          <w:rFonts w:hint="eastAsia"/>
          <w:color w:val="0095D5" w:themeColor="accent1"/>
          <w:lang w:eastAsia="zh-CN"/>
          <w14:textFill>
            <w14:solidFill>
              <w14:schemeClr w14:val="accent1"/>
            </w14:solidFill>
          </w14:textFill>
        </w:rPr>
        <w:t>由此</w:t>
      </w:r>
      <w:r>
        <w:rPr>
          <w:rStyle w:val="20"/>
          <w:rFonts w:hint="eastAsia"/>
          <w:color w:val="0095D5" w:themeColor="accent1"/>
          <w:lang w:eastAsia="zh-CN"/>
          <w14:textFill>
            <w14:solidFill>
              <w14:schemeClr w14:val="accent1"/>
            </w14:solidFill>
          </w14:textFill>
        </w:rPr>
        <w:fldChar w:fldCharType="end"/>
      </w:r>
      <w:r>
        <w:rPr>
          <w:rFonts w:hint="eastAsia"/>
          <w:lang w:eastAsia="zh-CN"/>
        </w:rPr>
        <w:t>下载。高清版图片，请</w:t>
      </w:r>
      <w:r>
        <w:fldChar w:fldCharType="begin"/>
      </w:r>
      <w:r>
        <w:instrText xml:space="preserve"> HYPERLINK "https://sennheiser-brandzone.com/share/GgLBHuGse3mDWJW63Zk8" </w:instrText>
      </w:r>
      <w:r>
        <w:fldChar w:fldCharType="separate"/>
      </w:r>
      <w:r>
        <w:rPr>
          <w:rStyle w:val="18"/>
          <w:rFonts w:hint="eastAsia"/>
          <w:color w:val="0095D5" w:themeColor="accent1"/>
          <w:lang w:eastAsia="zh-CN"/>
          <w14:textFill>
            <w14:solidFill>
              <w14:schemeClr w14:val="accent1"/>
            </w14:solidFill>
          </w14:textFill>
        </w:rPr>
        <w:t>由此</w:t>
      </w:r>
      <w:r>
        <w:rPr>
          <w:rStyle w:val="20"/>
          <w:rFonts w:hint="eastAsia"/>
          <w:color w:val="0095D5" w:themeColor="accent1"/>
          <w:lang w:eastAsia="zh-CN"/>
          <w14:textFill>
            <w14:solidFill>
              <w14:schemeClr w14:val="accent1"/>
            </w14:solidFill>
          </w14:textFill>
        </w:rPr>
        <w:fldChar w:fldCharType="end"/>
      </w:r>
      <w:r>
        <w:rPr>
          <w:rFonts w:hint="eastAsia"/>
          <w:lang w:eastAsia="zh-CN"/>
        </w:rPr>
        <w:t>下载。更多图片可应需提供。</w:t>
      </w:r>
    </w:p>
    <w:p>
      <w:pPr>
        <w:rPr>
          <w:lang w:eastAsia="zh-CN"/>
        </w:rPr>
      </w:pPr>
    </w:p>
    <w:p>
      <w:pPr>
        <w:rPr>
          <w:lang w:eastAsia="zh-CN"/>
        </w:rPr>
      </w:pPr>
    </w:p>
    <w:p>
      <w:pPr>
        <w:rPr>
          <w:b/>
          <w:bCs/>
          <w:lang w:eastAsia="zh-CN"/>
        </w:rPr>
      </w:pPr>
      <w:r>
        <w:rPr>
          <w:b/>
          <w:bCs/>
          <w:lang w:eastAsia="zh-CN"/>
        </w:rPr>
        <w:t>关于森海塞尔品牌</w:t>
      </w:r>
    </w:p>
    <w:p>
      <w:pPr>
        <w:rPr>
          <w:lang w:eastAsia="zh-CN"/>
        </w:rPr>
      </w:pPr>
      <w:r>
        <w:rPr>
          <w:lang w:eastAsia="zh-CN"/>
        </w:rPr>
        <w:t>音频是我们的生命之源。我们致力于创造与众不同的音频解决方案。打造音频之未来并为我们的客户提供非凡的声音体验——这就是森海塞尔品牌近80年来所传承的精神。专业话筒及监听系统、会议系统、流媒体技术和无线传输系统等专业音频解决方案，这些业务隶属于森海塞尔（Sennheiser electronic GmbH &amp; Co. KG）；而消费电子产品业务包括耳机、条形音箱和语音增强耳机等在森海塞尔的授权下由索诺瓦控股集团（Sonova Holding AG）运营。</w:t>
      </w:r>
    </w:p>
    <w:p>
      <w:pPr>
        <w:pStyle w:val="11"/>
        <w:spacing w:before="60" w:beforeAutospacing="0" w:after="60" w:afterAutospacing="0"/>
        <w:rPr>
          <w:sz w:val="18"/>
          <w:szCs w:val="18"/>
          <w:lang w:eastAsia="zh-CN"/>
        </w:rPr>
      </w:pPr>
      <w:r>
        <w:rPr>
          <w:color w:val="333333"/>
          <w:sz w:val="18"/>
          <w:szCs w:val="18"/>
          <w:lang w:eastAsia="zh-CN"/>
        </w:rPr>
        <w:t> </w:t>
      </w:r>
    </w:p>
    <w:p>
      <w:pPr>
        <w:pStyle w:val="11"/>
        <w:spacing w:before="60" w:beforeAutospacing="0" w:after="60" w:afterAutospacing="0"/>
        <w:rPr>
          <w:color w:val="0095D5" w:themeColor="accent1"/>
          <w:sz w:val="18"/>
          <w:szCs w:val="18"/>
          <w14:textFill>
            <w14:solidFill>
              <w14:schemeClr w14:val="accent1"/>
            </w14:solidFill>
          </w14:textFill>
        </w:rPr>
      </w:pPr>
      <w:r>
        <w:fldChar w:fldCharType="begin"/>
      </w:r>
      <w:r>
        <w:instrText xml:space="preserve"> HYPERLINK "http://www.sennheiser.com" </w:instrText>
      </w:r>
      <w:r>
        <w:fldChar w:fldCharType="separate"/>
      </w:r>
      <w:r>
        <w:rPr>
          <w:rStyle w:val="20"/>
          <w:color w:val="0095D5" w:themeColor="accent1"/>
          <w:sz w:val="18"/>
          <w:szCs w:val="18"/>
          <w:u w:val="none"/>
          <w14:textFill>
            <w14:solidFill>
              <w14:schemeClr w14:val="accent1"/>
            </w14:solidFill>
          </w14:textFill>
        </w:rPr>
        <w:t>www.sennheiser.com</w:t>
      </w:r>
      <w:r>
        <w:rPr>
          <w:rStyle w:val="20"/>
          <w:color w:val="0095D5" w:themeColor="accent1"/>
          <w:sz w:val="18"/>
          <w:szCs w:val="18"/>
          <w:u w:val="none"/>
          <w14:textFill>
            <w14:solidFill>
              <w14:schemeClr w14:val="accent1"/>
            </w14:solidFill>
          </w14:textFill>
        </w:rPr>
        <w:fldChar w:fldCharType="end"/>
      </w:r>
      <w:r>
        <w:rPr>
          <w:color w:val="0095D5" w:themeColor="accent1"/>
          <w:sz w:val="18"/>
          <w:szCs w:val="18"/>
          <w14:textFill>
            <w14:solidFill>
              <w14:schemeClr w14:val="accent1"/>
            </w14:solidFill>
          </w14:textFill>
        </w:rPr>
        <w:t xml:space="preserve"> </w:t>
      </w:r>
    </w:p>
    <w:p>
      <w:pPr>
        <w:pStyle w:val="11"/>
        <w:spacing w:before="60" w:beforeAutospacing="0" w:after="60" w:afterAutospacing="0"/>
        <w:rPr>
          <w:color w:val="0095D5" w:themeColor="accent1"/>
          <w:sz w:val="18"/>
          <w:szCs w:val="18"/>
          <w14:textFill>
            <w14:solidFill>
              <w14:schemeClr w14:val="accent1"/>
            </w14:solidFill>
          </w14:textFill>
        </w:rPr>
      </w:pPr>
      <w:r>
        <w:fldChar w:fldCharType="begin"/>
      </w:r>
      <w:r>
        <w:instrText xml:space="preserve"> HYPERLINK "http://www.sennheiser-hearing.com" </w:instrText>
      </w:r>
      <w:r>
        <w:fldChar w:fldCharType="separate"/>
      </w:r>
      <w:r>
        <w:rPr>
          <w:rStyle w:val="20"/>
          <w:color w:val="0095D5" w:themeColor="accent1"/>
          <w:sz w:val="18"/>
          <w:szCs w:val="18"/>
          <w:u w:val="none"/>
          <w14:textFill>
            <w14:solidFill>
              <w14:schemeClr w14:val="accent1"/>
            </w14:solidFill>
          </w14:textFill>
        </w:rPr>
        <w:t>www.sennheiser-hearing.com</w:t>
      </w:r>
      <w:r>
        <w:rPr>
          <w:rStyle w:val="20"/>
          <w:color w:val="0095D5" w:themeColor="accent1"/>
          <w:sz w:val="18"/>
          <w:szCs w:val="18"/>
          <w:u w:val="none"/>
          <w14:textFill>
            <w14:solidFill>
              <w14:schemeClr w14:val="accent1"/>
            </w14:solidFill>
          </w14:textFill>
        </w:rPr>
        <w:fldChar w:fldCharType="end"/>
      </w:r>
    </w:p>
    <w:p>
      <w:pPr>
        <w:rPr>
          <w:szCs w:val="18"/>
          <w:lang w:val="de-DE"/>
        </w:rPr>
      </w:pPr>
    </w:p>
    <w:p>
      <w:pPr>
        <w:rPr>
          <w:szCs w:val="18"/>
          <w:lang w:val="de-DE"/>
        </w:rPr>
      </w:pPr>
    </w:p>
    <w:p>
      <w:pPr>
        <w:rPr>
          <w:b/>
          <w:bCs/>
          <w:szCs w:val="18"/>
          <w:lang w:eastAsia="zh-CN"/>
        </w:rPr>
      </w:pPr>
      <w:r>
        <w:rPr>
          <w:rFonts w:hint="eastAsia"/>
          <w:b/>
          <w:bCs/>
          <w:szCs w:val="18"/>
          <w:lang w:eastAsia="zh-CN"/>
        </w:rPr>
        <w:t>大中华区新闻联络人</w:t>
      </w:r>
    </w:p>
    <w:p>
      <w:pPr>
        <w:rPr>
          <w:szCs w:val="18"/>
          <w:lang w:val="en-US" w:eastAsia="zh-CN"/>
        </w:rPr>
      </w:pPr>
      <w:r>
        <w:rPr>
          <w:rFonts w:hint="eastAsia"/>
          <w:szCs w:val="18"/>
          <w:lang w:eastAsia="zh-CN"/>
        </w:rPr>
        <w:t>顾彦多</w:t>
      </w:r>
      <w:r>
        <w:rPr>
          <w:rFonts w:hint="eastAsia"/>
          <w:szCs w:val="18"/>
          <w:lang w:val="en-US" w:eastAsia="zh-CN"/>
        </w:rPr>
        <w:t xml:space="preserve"> Ivy</w:t>
      </w:r>
    </w:p>
    <w:p>
      <w:pPr>
        <w:rPr>
          <w:szCs w:val="18"/>
        </w:rPr>
      </w:pPr>
      <w:r>
        <w:rPr>
          <w:rFonts w:hint="eastAsia"/>
          <w:szCs w:val="18"/>
        </w:rPr>
        <w:t>ivy.gu@sennheiser.com</w:t>
      </w:r>
    </w:p>
    <w:p>
      <w:pPr>
        <w:rPr>
          <w:szCs w:val="18"/>
        </w:rPr>
      </w:pPr>
      <w:r>
        <w:rPr>
          <w:rFonts w:hint="eastAsia"/>
          <w:szCs w:val="18"/>
        </w:rPr>
        <w:t>+86-13810674317</w:t>
      </w:r>
    </w:p>
    <w:p/>
    <w:p>
      <w:pPr>
        <w:spacing w:line="240" w:lineRule="auto"/>
      </w:pPr>
    </w:p>
    <w:sectPr>
      <w:headerReference r:id="rId6" w:type="first"/>
      <w:footerReference r:id="rId7" w:type="first"/>
      <w:headerReference r:id="rId5" w:type="default"/>
      <w:pgSz w:w="11906" w:h="16838"/>
      <w:pgMar w:top="2754" w:right="2608" w:bottom="1418" w:left="1418" w:header="629" w:footer="134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FF1908F-8B78-4C83-8CC4-ACFB620928A0}"/>
  </w:font>
  <w:font w:name="Arial">
    <w:panose1 w:val="020B0604020202020204"/>
    <w:charset w:val="01"/>
    <w:family w:val="swiss"/>
    <w:pitch w:val="default"/>
    <w:sig w:usb0="E0002AFF" w:usb1="C0007843" w:usb2="00000009" w:usb3="00000000" w:csb0="400001FF" w:csb1="FFFF0000"/>
    <w:embedRegular r:id="rId2" w:fontKey="{E7F06A65-B960-425F-AD72-59F2D8637985}"/>
  </w:font>
  <w:font w:name="黑体">
    <w:panose1 w:val="02010609060101010101"/>
    <w:charset w:val="86"/>
    <w:family w:val="auto"/>
    <w:pitch w:val="default"/>
    <w:sig w:usb0="800002BF" w:usb1="38CF7CFA" w:usb2="00000016" w:usb3="00000000" w:csb0="00040001" w:csb1="00000000"/>
    <w:embedRegular r:id="rId3" w:fontKey="{CE948DA7-9391-4E8A-91BC-D600EC4CF3DB}"/>
  </w:font>
  <w:font w:name="Courier New">
    <w:panose1 w:val="02070309020205020404"/>
    <w:charset w:val="01"/>
    <w:family w:val="modern"/>
    <w:pitch w:val="default"/>
    <w:sig w:usb0="E0002AFF" w:usb1="C0007843" w:usb2="00000009" w:usb3="00000000" w:csb0="400001FF" w:csb1="FFFF0000"/>
    <w:embedRegular r:id="rId4" w:fontKey="{247389AF-4F0E-46FB-8420-9F8A1FE11DF1}"/>
  </w:font>
  <w:font w:name="Symbol">
    <w:panose1 w:val="05050102010706020507"/>
    <w:charset w:val="02"/>
    <w:family w:val="roman"/>
    <w:pitch w:val="default"/>
    <w:sig w:usb0="00000000" w:usb1="00000000" w:usb2="00000000" w:usb3="00000000" w:csb0="80000000" w:csb1="00000000"/>
    <w:embedRegular r:id="rId5" w:fontKey="{F8126642-71BE-4399-8929-20142CF5DA35}"/>
  </w:font>
  <w:font w:name="Calibri">
    <w:panose1 w:val="020F0502020204030204"/>
    <w:charset w:val="00"/>
    <w:family w:val="swiss"/>
    <w:pitch w:val="default"/>
    <w:sig w:usb0="E00002FF" w:usb1="4000ACFF" w:usb2="00000001" w:usb3="00000000" w:csb0="2000019F" w:csb1="00000000"/>
    <w:embedRegular r:id="rId6" w:fontKey="{C7324D0A-8CD4-4686-A94E-1D99D3460C45}"/>
  </w:font>
  <w:font w:name="Sennheiser Office">
    <w:panose1 w:val="02010504010101010104"/>
    <w:charset w:val="00"/>
    <w:family w:val="swiss"/>
    <w:pitch w:val="default"/>
    <w:sig w:usb0="A00000AF" w:usb1="500020DB" w:usb2="00000000" w:usb3="00000000" w:csb0="20000093" w:csb1="00000000"/>
    <w:embedRegular r:id="rId7" w:fontKey="{332DAD05-81F2-47AA-A12C-F545B34BCD98}"/>
  </w:font>
  <w:font w:name="Segoe UI">
    <w:panose1 w:val="020B0502040204020203"/>
    <w:charset w:val="00"/>
    <w:family w:val="swiss"/>
    <w:pitch w:val="default"/>
    <w:sig w:usb0="E10022FF" w:usb1="C000E47F" w:usb2="00000029" w:usb3="00000000" w:csb0="200001DF" w:csb1="20000000"/>
    <w:embedRegular r:id="rId8" w:fontKey="{15CA7942-E10D-4E9A-A1EA-3531F974E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068"/>
      </w:tabs>
    </w:pPr>
    <w:r>
      <w:rPr>
        <w:lang w:eastAsia="en-GB"/>
      </w:rPr>
      <w:drawing>
        <wp:anchor distT="0" distB="0" distL="114300" distR="114300" simplePos="0" relativeHeight="251661312" behindDoc="0" locked="1" layoutInCell="1" allowOverlap="1">
          <wp:simplePos x="0" y="0"/>
          <wp:positionH relativeFrom="page">
            <wp:posOffset>900430</wp:posOffset>
          </wp:positionH>
          <wp:positionV relativeFrom="page">
            <wp:posOffset>10153015</wp:posOffset>
          </wp:positionV>
          <wp:extent cx="1026160"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color w:val="0095D5" w:themeColor="accent1"/>
        <w14:textFill>
          <w14:solidFill>
            <w14:schemeClr w14:val="accent1"/>
          </w14:solidFill>
        </w14:textFill>
      </w:rPr>
    </w:pPr>
    <w:r>
      <w:rPr>
        <w:color w:val="0095D5" w:themeColor="accent1"/>
        <w:lang w:eastAsia="en-GB"/>
        <w14:textFill>
          <w14:solidFill>
            <w14:schemeClr w14:val="accent1"/>
          </w14:solidFill>
        </w14:textFill>
      </w:rPr>
      <w:drawing>
        <wp:anchor distT="0" distB="0" distL="114300" distR="114300" simplePos="0" relativeHeight="251659264"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14:textFill>
          <w14:solidFill>
            <w14:schemeClr w14:val="accent1"/>
          </w14:solidFill>
        </w14:textFill>
      </w:rPr>
      <w:t>PRESS RELEASE</w:t>
    </w:r>
  </w:p>
  <w:p>
    <w:pPr>
      <w:pStyle w:val="10"/>
    </w:pPr>
    <w:r>
      <w:fldChar w:fldCharType="begin"/>
    </w:r>
    <w:r>
      <w:instrText xml:space="preserve"> PAGE  \* Arabic  \* MERGEFORMAT </w:instrText>
    </w:r>
    <w:r>
      <w:fldChar w:fldCharType="separate"/>
    </w:r>
    <w:r>
      <w:t>8</w:t>
    </w:r>
    <w:r>
      <w:fldChar w:fldCharType="end"/>
    </w:r>
    <w:r>
      <w:t>/</w:t>
    </w:r>
    <w:r>
      <w:fldChar w:fldCharType="begin"/>
    </w:r>
    <w:r>
      <w:instrText xml:space="preserve"> NUMPAGES  \* Arabic  \* MERGEFORMAT </w:instrText>
    </w:r>
    <w:r>
      <w:fldChar w:fldCharType="separate"/>
    </w:r>
    <w:r>
      <w:t>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color w:val="0095D5" w:themeColor="accent1"/>
        <w14:textFill>
          <w14:solidFill>
            <w14:schemeClr w14:val="accent1"/>
          </w14:solidFill>
        </w14:textFill>
      </w:rPr>
    </w:pPr>
    <w:r>
      <w:rPr>
        <w:color w:val="0095D5" w:themeColor="accent1"/>
        <w:lang w:eastAsia="en-GB"/>
        <w14:textFill>
          <w14:solidFill>
            <w14:schemeClr w14:val="accent1"/>
          </w14:solidFill>
        </w14:textFill>
      </w:rPr>
      <w:drawing>
        <wp:anchor distT="0" distB="0" distL="114300" distR="114300" simplePos="0" relativeHeight="251660288"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14:textFill>
          <w14:solidFill>
            <w14:schemeClr w14:val="accent1"/>
          </w14:solidFill>
        </w14:textFill>
      </w:rPr>
      <w:t>PRESS RELEASE</w:t>
    </w:r>
  </w:p>
  <w:p>
    <w:pPr>
      <w:pStyle w:val="10"/>
    </w:pPr>
    <w:r>
      <w:fldChar w:fldCharType="begin"/>
    </w:r>
    <w:r>
      <w:instrText xml:space="preserve"> PAGE  \* Arabic  \* MERGEFORMAT </w:instrText>
    </w:r>
    <w:r>
      <w:fldChar w:fldCharType="separate"/>
    </w:r>
    <w:r>
      <w:t>1</w:t>
    </w:r>
    <w:r>
      <w:fldChar w:fldCharType="end"/>
    </w:r>
    <w:r>
      <w:t>/</w:t>
    </w:r>
    <w:r>
      <w:fldChar w:fldCharType="begin"/>
    </w:r>
    <w:r>
      <w:instrText xml:space="preserve"> NUMPAGES  \* Arabic  \* MERGEFORMAT </w:instrText>
    </w:r>
    <w:r>
      <w:fldChar w:fldCharType="separate"/>
    </w:r>
    <w:r>
      <w:t>8</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708"/>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GVjOGUyZDhkNGI2ZTMwYTAxNDUxNjRhMWRhNzIifQ=="/>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3D2"/>
    <w:rsid w:val="0001676E"/>
    <w:rsid w:val="00020FAA"/>
    <w:rsid w:val="00021722"/>
    <w:rsid w:val="0002211B"/>
    <w:rsid w:val="00024D82"/>
    <w:rsid w:val="000255D1"/>
    <w:rsid w:val="0002682A"/>
    <w:rsid w:val="00034027"/>
    <w:rsid w:val="00034424"/>
    <w:rsid w:val="00035A74"/>
    <w:rsid w:val="000367D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372D"/>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949B3"/>
    <w:rsid w:val="000A054A"/>
    <w:rsid w:val="000A0C6C"/>
    <w:rsid w:val="000A20BE"/>
    <w:rsid w:val="000A3ECE"/>
    <w:rsid w:val="000B16C2"/>
    <w:rsid w:val="000B635F"/>
    <w:rsid w:val="000B7E6B"/>
    <w:rsid w:val="000C032C"/>
    <w:rsid w:val="000C07FC"/>
    <w:rsid w:val="000C1C9D"/>
    <w:rsid w:val="000C277A"/>
    <w:rsid w:val="000C3C6E"/>
    <w:rsid w:val="000C5823"/>
    <w:rsid w:val="000D07C3"/>
    <w:rsid w:val="000D4C63"/>
    <w:rsid w:val="000D6B69"/>
    <w:rsid w:val="000E558A"/>
    <w:rsid w:val="000E6D61"/>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534A"/>
    <w:rsid w:val="00146355"/>
    <w:rsid w:val="0014640F"/>
    <w:rsid w:val="001469D9"/>
    <w:rsid w:val="00152FA9"/>
    <w:rsid w:val="0016008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703"/>
    <w:rsid w:val="001779A2"/>
    <w:rsid w:val="001808F4"/>
    <w:rsid w:val="00182BE1"/>
    <w:rsid w:val="00183528"/>
    <w:rsid w:val="00186350"/>
    <w:rsid w:val="00190B0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37B9"/>
    <w:rsid w:val="001B46A8"/>
    <w:rsid w:val="001B49D9"/>
    <w:rsid w:val="001B4B52"/>
    <w:rsid w:val="001B4FAB"/>
    <w:rsid w:val="001B6A18"/>
    <w:rsid w:val="001C00CF"/>
    <w:rsid w:val="001C0AC8"/>
    <w:rsid w:val="001C63D8"/>
    <w:rsid w:val="001D105E"/>
    <w:rsid w:val="001D4136"/>
    <w:rsid w:val="001D4E25"/>
    <w:rsid w:val="001E0C8F"/>
    <w:rsid w:val="001E0E51"/>
    <w:rsid w:val="001E188A"/>
    <w:rsid w:val="001E2C73"/>
    <w:rsid w:val="001E3AA7"/>
    <w:rsid w:val="001E5F7D"/>
    <w:rsid w:val="001F2EA0"/>
    <w:rsid w:val="001F3001"/>
    <w:rsid w:val="001F369F"/>
    <w:rsid w:val="002008AB"/>
    <w:rsid w:val="00203C58"/>
    <w:rsid w:val="00205081"/>
    <w:rsid w:val="002057CE"/>
    <w:rsid w:val="00205AD4"/>
    <w:rsid w:val="002075EF"/>
    <w:rsid w:val="00207D64"/>
    <w:rsid w:val="00210684"/>
    <w:rsid w:val="00212E5F"/>
    <w:rsid w:val="00213B6E"/>
    <w:rsid w:val="00214801"/>
    <w:rsid w:val="002206C4"/>
    <w:rsid w:val="00220D8B"/>
    <w:rsid w:val="00221B4B"/>
    <w:rsid w:val="002235DE"/>
    <w:rsid w:val="0022459A"/>
    <w:rsid w:val="00225A83"/>
    <w:rsid w:val="0023030F"/>
    <w:rsid w:val="0023078D"/>
    <w:rsid w:val="002332F1"/>
    <w:rsid w:val="00235506"/>
    <w:rsid w:val="002356E0"/>
    <w:rsid w:val="00235C08"/>
    <w:rsid w:val="00240019"/>
    <w:rsid w:val="002409B4"/>
    <w:rsid w:val="00241AE8"/>
    <w:rsid w:val="00245322"/>
    <w:rsid w:val="002461ED"/>
    <w:rsid w:val="002465AA"/>
    <w:rsid w:val="0024676E"/>
    <w:rsid w:val="00246A95"/>
    <w:rsid w:val="00247165"/>
    <w:rsid w:val="002502A3"/>
    <w:rsid w:val="00250A63"/>
    <w:rsid w:val="002510FD"/>
    <w:rsid w:val="00251C03"/>
    <w:rsid w:val="00255199"/>
    <w:rsid w:val="00257E72"/>
    <w:rsid w:val="002600BD"/>
    <w:rsid w:val="00261257"/>
    <w:rsid w:val="00262172"/>
    <w:rsid w:val="002640AF"/>
    <w:rsid w:val="002652AE"/>
    <w:rsid w:val="002654DE"/>
    <w:rsid w:val="00265E9F"/>
    <w:rsid w:val="00266F45"/>
    <w:rsid w:val="002670A9"/>
    <w:rsid w:val="0027078B"/>
    <w:rsid w:val="00271BB6"/>
    <w:rsid w:val="00277033"/>
    <w:rsid w:val="00280603"/>
    <w:rsid w:val="00282A73"/>
    <w:rsid w:val="00282A8D"/>
    <w:rsid w:val="002834AA"/>
    <w:rsid w:val="00284363"/>
    <w:rsid w:val="002849F1"/>
    <w:rsid w:val="002856C8"/>
    <w:rsid w:val="00286180"/>
    <w:rsid w:val="00286F89"/>
    <w:rsid w:val="002917A2"/>
    <w:rsid w:val="00292E88"/>
    <w:rsid w:val="00294AF5"/>
    <w:rsid w:val="002A0160"/>
    <w:rsid w:val="002A24D0"/>
    <w:rsid w:val="002A4EB4"/>
    <w:rsid w:val="002A50C3"/>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32E"/>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2F62"/>
    <w:rsid w:val="00314D5D"/>
    <w:rsid w:val="003204D8"/>
    <w:rsid w:val="00320EA4"/>
    <w:rsid w:val="003222F5"/>
    <w:rsid w:val="00323587"/>
    <w:rsid w:val="00323BA6"/>
    <w:rsid w:val="00324808"/>
    <w:rsid w:val="00324859"/>
    <w:rsid w:val="00326FB8"/>
    <w:rsid w:val="003275FC"/>
    <w:rsid w:val="00330111"/>
    <w:rsid w:val="00330C3B"/>
    <w:rsid w:val="003320F8"/>
    <w:rsid w:val="003330DE"/>
    <w:rsid w:val="00334CD0"/>
    <w:rsid w:val="00337412"/>
    <w:rsid w:val="00341363"/>
    <w:rsid w:val="003444F8"/>
    <w:rsid w:val="00344EF9"/>
    <w:rsid w:val="00346D4C"/>
    <w:rsid w:val="003477FA"/>
    <w:rsid w:val="00350556"/>
    <w:rsid w:val="00351B40"/>
    <w:rsid w:val="003524A7"/>
    <w:rsid w:val="00354AF9"/>
    <w:rsid w:val="00354D93"/>
    <w:rsid w:val="003554FF"/>
    <w:rsid w:val="00357A49"/>
    <w:rsid w:val="0036480A"/>
    <w:rsid w:val="00364D9F"/>
    <w:rsid w:val="003673FF"/>
    <w:rsid w:val="003708EA"/>
    <w:rsid w:val="003717C0"/>
    <w:rsid w:val="003721E8"/>
    <w:rsid w:val="00372321"/>
    <w:rsid w:val="00373AAB"/>
    <w:rsid w:val="00373F92"/>
    <w:rsid w:val="00375ACD"/>
    <w:rsid w:val="00376E24"/>
    <w:rsid w:val="0038583A"/>
    <w:rsid w:val="00387600"/>
    <w:rsid w:val="00387744"/>
    <w:rsid w:val="00392136"/>
    <w:rsid w:val="003927EC"/>
    <w:rsid w:val="0039693C"/>
    <w:rsid w:val="003A26C2"/>
    <w:rsid w:val="003A4922"/>
    <w:rsid w:val="003A649F"/>
    <w:rsid w:val="003A670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E5ECA"/>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1F9"/>
    <w:rsid w:val="00462AE9"/>
    <w:rsid w:val="00470159"/>
    <w:rsid w:val="004708FB"/>
    <w:rsid w:val="00474E4B"/>
    <w:rsid w:val="00475471"/>
    <w:rsid w:val="00482E41"/>
    <w:rsid w:val="00483DD1"/>
    <w:rsid w:val="004850F3"/>
    <w:rsid w:val="00490C42"/>
    <w:rsid w:val="004A40F5"/>
    <w:rsid w:val="004B4099"/>
    <w:rsid w:val="004B4D86"/>
    <w:rsid w:val="004B5C66"/>
    <w:rsid w:val="004B7AD3"/>
    <w:rsid w:val="004C3017"/>
    <w:rsid w:val="004C46DE"/>
    <w:rsid w:val="004C593B"/>
    <w:rsid w:val="004D1199"/>
    <w:rsid w:val="004D3765"/>
    <w:rsid w:val="004E0A54"/>
    <w:rsid w:val="004E19A6"/>
    <w:rsid w:val="004E2405"/>
    <w:rsid w:val="004E7F9A"/>
    <w:rsid w:val="004F31F9"/>
    <w:rsid w:val="004F355A"/>
    <w:rsid w:val="004F5A76"/>
    <w:rsid w:val="004F79CB"/>
    <w:rsid w:val="00500E07"/>
    <w:rsid w:val="00503BE9"/>
    <w:rsid w:val="00504A34"/>
    <w:rsid w:val="005054E4"/>
    <w:rsid w:val="00505597"/>
    <w:rsid w:val="00505D1E"/>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67D"/>
    <w:rsid w:val="00591E13"/>
    <w:rsid w:val="005931FF"/>
    <w:rsid w:val="00593EDE"/>
    <w:rsid w:val="00596C4A"/>
    <w:rsid w:val="00597265"/>
    <w:rsid w:val="005A09B1"/>
    <w:rsid w:val="005A0B2C"/>
    <w:rsid w:val="005A1341"/>
    <w:rsid w:val="005A2939"/>
    <w:rsid w:val="005A29AD"/>
    <w:rsid w:val="005A3459"/>
    <w:rsid w:val="005A5640"/>
    <w:rsid w:val="005A6973"/>
    <w:rsid w:val="005A79E9"/>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15F3"/>
    <w:rsid w:val="005F2419"/>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1DFE"/>
    <w:rsid w:val="00645368"/>
    <w:rsid w:val="006478D9"/>
    <w:rsid w:val="006502F1"/>
    <w:rsid w:val="006541CF"/>
    <w:rsid w:val="0066111A"/>
    <w:rsid w:val="006626CC"/>
    <w:rsid w:val="00662BB7"/>
    <w:rsid w:val="0066330C"/>
    <w:rsid w:val="0066445C"/>
    <w:rsid w:val="0066469A"/>
    <w:rsid w:val="00665897"/>
    <w:rsid w:val="00665D96"/>
    <w:rsid w:val="00667104"/>
    <w:rsid w:val="00667856"/>
    <w:rsid w:val="0066793E"/>
    <w:rsid w:val="0067188D"/>
    <w:rsid w:val="006721FF"/>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AA4"/>
    <w:rsid w:val="006B6C35"/>
    <w:rsid w:val="006B7361"/>
    <w:rsid w:val="006B79B3"/>
    <w:rsid w:val="006B7BAC"/>
    <w:rsid w:val="006C0585"/>
    <w:rsid w:val="006C191C"/>
    <w:rsid w:val="006C2022"/>
    <w:rsid w:val="006C239A"/>
    <w:rsid w:val="006C242D"/>
    <w:rsid w:val="006C29E1"/>
    <w:rsid w:val="006C3C94"/>
    <w:rsid w:val="006C7F79"/>
    <w:rsid w:val="006D154A"/>
    <w:rsid w:val="006D1875"/>
    <w:rsid w:val="006D4BD0"/>
    <w:rsid w:val="006D55B1"/>
    <w:rsid w:val="006D7BBA"/>
    <w:rsid w:val="006D7D25"/>
    <w:rsid w:val="006E08FD"/>
    <w:rsid w:val="006E233E"/>
    <w:rsid w:val="006E34D7"/>
    <w:rsid w:val="006E4EA2"/>
    <w:rsid w:val="006E58DB"/>
    <w:rsid w:val="006E7497"/>
    <w:rsid w:val="006E7B06"/>
    <w:rsid w:val="006F058F"/>
    <w:rsid w:val="006F134F"/>
    <w:rsid w:val="006F1F15"/>
    <w:rsid w:val="006F21EC"/>
    <w:rsid w:val="006F269B"/>
    <w:rsid w:val="006F5634"/>
    <w:rsid w:val="006F6E88"/>
    <w:rsid w:val="00701A09"/>
    <w:rsid w:val="00702043"/>
    <w:rsid w:val="00705F92"/>
    <w:rsid w:val="007104C1"/>
    <w:rsid w:val="00713495"/>
    <w:rsid w:val="0071422C"/>
    <w:rsid w:val="007155FA"/>
    <w:rsid w:val="00717D59"/>
    <w:rsid w:val="007237E9"/>
    <w:rsid w:val="00724E7B"/>
    <w:rsid w:val="00725E5D"/>
    <w:rsid w:val="007268D3"/>
    <w:rsid w:val="0072769A"/>
    <w:rsid w:val="00730716"/>
    <w:rsid w:val="007321DA"/>
    <w:rsid w:val="00732897"/>
    <w:rsid w:val="00733E7E"/>
    <w:rsid w:val="00733FA9"/>
    <w:rsid w:val="0073498E"/>
    <w:rsid w:val="0073722D"/>
    <w:rsid w:val="00737B01"/>
    <w:rsid w:val="00740D3A"/>
    <w:rsid w:val="00740F42"/>
    <w:rsid w:val="00744963"/>
    <w:rsid w:val="00750928"/>
    <w:rsid w:val="00753774"/>
    <w:rsid w:val="0075404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5CE3"/>
    <w:rsid w:val="00786EA4"/>
    <w:rsid w:val="00790755"/>
    <w:rsid w:val="0079263F"/>
    <w:rsid w:val="00794A3D"/>
    <w:rsid w:val="00795089"/>
    <w:rsid w:val="00796EF7"/>
    <w:rsid w:val="007A0C84"/>
    <w:rsid w:val="007A2D75"/>
    <w:rsid w:val="007A53BD"/>
    <w:rsid w:val="007A57BC"/>
    <w:rsid w:val="007A5DEA"/>
    <w:rsid w:val="007A5F92"/>
    <w:rsid w:val="007B0147"/>
    <w:rsid w:val="007B0E5C"/>
    <w:rsid w:val="007B0E9D"/>
    <w:rsid w:val="007B0F32"/>
    <w:rsid w:val="007B40D0"/>
    <w:rsid w:val="007B77BB"/>
    <w:rsid w:val="007B7BB9"/>
    <w:rsid w:val="007C05D1"/>
    <w:rsid w:val="007C16E0"/>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4F7D"/>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1879"/>
    <w:rsid w:val="00821AD5"/>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95590"/>
    <w:rsid w:val="008A1D65"/>
    <w:rsid w:val="008A2E98"/>
    <w:rsid w:val="008A3544"/>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8F5DDB"/>
    <w:rsid w:val="0090042A"/>
    <w:rsid w:val="00901209"/>
    <w:rsid w:val="009017E5"/>
    <w:rsid w:val="00901EC9"/>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BA0"/>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6A42"/>
    <w:rsid w:val="009F7EAC"/>
    <w:rsid w:val="00A020BD"/>
    <w:rsid w:val="00A02C88"/>
    <w:rsid w:val="00A06005"/>
    <w:rsid w:val="00A06726"/>
    <w:rsid w:val="00A07634"/>
    <w:rsid w:val="00A079C0"/>
    <w:rsid w:val="00A07A2E"/>
    <w:rsid w:val="00A10D64"/>
    <w:rsid w:val="00A1121A"/>
    <w:rsid w:val="00A11584"/>
    <w:rsid w:val="00A138E6"/>
    <w:rsid w:val="00A14526"/>
    <w:rsid w:val="00A16576"/>
    <w:rsid w:val="00A1701D"/>
    <w:rsid w:val="00A22B76"/>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415F"/>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40C5"/>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0FD4"/>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AF10F8"/>
    <w:rsid w:val="00B0525D"/>
    <w:rsid w:val="00B05B29"/>
    <w:rsid w:val="00B069D9"/>
    <w:rsid w:val="00B06B26"/>
    <w:rsid w:val="00B06EAE"/>
    <w:rsid w:val="00B10133"/>
    <w:rsid w:val="00B1075F"/>
    <w:rsid w:val="00B11EED"/>
    <w:rsid w:val="00B12084"/>
    <w:rsid w:val="00B13D27"/>
    <w:rsid w:val="00B14DB7"/>
    <w:rsid w:val="00B17411"/>
    <w:rsid w:val="00B17689"/>
    <w:rsid w:val="00B2015C"/>
    <w:rsid w:val="00B20E88"/>
    <w:rsid w:val="00B21D9D"/>
    <w:rsid w:val="00B2342E"/>
    <w:rsid w:val="00B24C89"/>
    <w:rsid w:val="00B2607F"/>
    <w:rsid w:val="00B30AE0"/>
    <w:rsid w:val="00B313BF"/>
    <w:rsid w:val="00B31B37"/>
    <w:rsid w:val="00B35434"/>
    <w:rsid w:val="00B3544D"/>
    <w:rsid w:val="00B37CC8"/>
    <w:rsid w:val="00B44DB9"/>
    <w:rsid w:val="00B476AD"/>
    <w:rsid w:val="00B47E46"/>
    <w:rsid w:val="00B5161F"/>
    <w:rsid w:val="00B5217E"/>
    <w:rsid w:val="00B5300A"/>
    <w:rsid w:val="00B563B7"/>
    <w:rsid w:val="00B56D8B"/>
    <w:rsid w:val="00B63CC6"/>
    <w:rsid w:val="00B63D84"/>
    <w:rsid w:val="00B6471B"/>
    <w:rsid w:val="00B64B75"/>
    <w:rsid w:val="00B658A8"/>
    <w:rsid w:val="00B701F7"/>
    <w:rsid w:val="00B72035"/>
    <w:rsid w:val="00B74CE0"/>
    <w:rsid w:val="00B76701"/>
    <w:rsid w:val="00B76B99"/>
    <w:rsid w:val="00B77E8D"/>
    <w:rsid w:val="00B80171"/>
    <w:rsid w:val="00B80BAE"/>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2C0B"/>
    <w:rsid w:val="00BC31A7"/>
    <w:rsid w:val="00BC4C8D"/>
    <w:rsid w:val="00BC588E"/>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532"/>
    <w:rsid w:val="00BF7D6F"/>
    <w:rsid w:val="00BF7F48"/>
    <w:rsid w:val="00C02462"/>
    <w:rsid w:val="00C02BEF"/>
    <w:rsid w:val="00C02C6E"/>
    <w:rsid w:val="00C0425D"/>
    <w:rsid w:val="00C04E86"/>
    <w:rsid w:val="00C10489"/>
    <w:rsid w:val="00C12F68"/>
    <w:rsid w:val="00C13FDE"/>
    <w:rsid w:val="00C16707"/>
    <w:rsid w:val="00C20AE4"/>
    <w:rsid w:val="00C24609"/>
    <w:rsid w:val="00C24DAB"/>
    <w:rsid w:val="00C264BE"/>
    <w:rsid w:val="00C26CA3"/>
    <w:rsid w:val="00C302EE"/>
    <w:rsid w:val="00C30400"/>
    <w:rsid w:val="00C30C91"/>
    <w:rsid w:val="00C32915"/>
    <w:rsid w:val="00C3597D"/>
    <w:rsid w:val="00C363B8"/>
    <w:rsid w:val="00C40047"/>
    <w:rsid w:val="00C413D7"/>
    <w:rsid w:val="00C41533"/>
    <w:rsid w:val="00C42C03"/>
    <w:rsid w:val="00C44BBA"/>
    <w:rsid w:val="00C44D9D"/>
    <w:rsid w:val="00C46987"/>
    <w:rsid w:val="00C472D4"/>
    <w:rsid w:val="00C5086D"/>
    <w:rsid w:val="00C50AF5"/>
    <w:rsid w:val="00C5286F"/>
    <w:rsid w:val="00C54A26"/>
    <w:rsid w:val="00C5608E"/>
    <w:rsid w:val="00C615B3"/>
    <w:rsid w:val="00C6305C"/>
    <w:rsid w:val="00C64182"/>
    <w:rsid w:val="00C64EFC"/>
    <w:rsid w:val="00C65694"/>
    <w:rsid w:val="00C65C73"/>
    <w:rsid w:val="00C75488"/>
    <w:rsid w:val="00C77341"/>
    <w:rsid w:val="00C77D48"/>
    <w:rsid w:val="00C8099E"/>
    <w:rsid w:val="00C85083"/>
    <w:rsid w:val="00C91ACD"/>
    <w:rsid w:val="00C931A2"/>
    <w:rsid w:val="00C94159"/>
    <w:rsid w:val="00C94578"/>
    <w:rsid w:val="00C95682"/>
    <w:rsid w:val="00CA11C7"/>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62C3"/>
    <w:rsid w:val="00CD7514"/>
    <w:rsid w:val="00CE16F8"/>
    <w:rsid w:val="00CE24C7"/>
    <w:rsid w:val="00CE31F8"/>
    <w:rsid w:val="00CE4E9C"/>
    <w:rsid w:val="00CE5729"/>
    <w:rsid w:val="00CE5AFD"/>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017E"/>
    <w:rsid w:val="00D1248C"/>
    <w:rsid w:val="00D13AB2"/>
    <w:rsid w:val="00D14479"/>
    <w:rsid w:val="00D1483E"/>
    <w:rsid w:val="00D1718B"/>
    <w:rsid w:val="00D22EA6"/>
    <w:rsid w:val="00D232C5"/>
    <w:rsid w:val="00D245A7"/>
    <w:rsid w:val="00D25F97"/>
    <w:rsid w:val="00D27D88"/>
    <w:rsid w:val="00D302A7"/>
    <w:rsid w:val="00D308C9"/>
    <w:rsid w:val="00D349CA"/>
    <w:rsid w:val="00D355BF"/>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DE0"/>
    <w:rsid w:val="00D62E03"/>
    <w:rsid w:val="00D644ED"/>
    <w:rsid w:val="00D64CB7"/>
    <w:rsid w:val="00D66D44"/>
    <w:rsid w:val="00D708FA"/>
    <w:rsid w:val="00D71902"/>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2549"/>
    <w:rsid w:val="00DE36E4"/>
    <w:rsid w:val="00DE4F01"/>
    <w:rsid w:val="00DF5534"/>
    <w:rsid w:val="00DF6334"/>
    <w:rsid w:val="00DF6947"/>
    <w:rsid w:val="00DF7B7B"/>
    <w:rsid w:val="00E00064"/>
    <w:rsid w:val="00E0006B"/>
    <w:rsid w:val="00E00140"/>
    <w:rsid w:val="00E01A8A"/>
    <w:rsid w:val="00E01F66"/>
    <w:rsid w:val="00E04293"/>
    <w:rsid w:val="00E059B3"/>
    <w:rsid w:val="00E111F2"/>
    <w:rsid w:val="00E1323C"/>
    <w:rsid w:val="00E13D2B"/>
    <w:rsid w:val="00E155DE"/>
    <w:rsid w:val="00E16F00"/>
    <w:rsid w:val="00E233E0"/>
    <w:rsid w:val="00E23CFB"/>
    <w:rsid w:val="00E255D6"/>
    <w:rsid w:val="00E32CED"/>
    <w:rsid w:val="00E36E64"/>
    <w:rsid w:val="00E3702B"/>
    <w:rsid w:val="00E3716B"/>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1423"/>
    <w:rsid w:val="00E6301A"/>
    <w:rsid w:val="00E631B7"/>
    <w:rsid w:val="00E63719"/>
    <w:rsid w:val="00E64067"/>
    <w:rsid w:val="00E65A3D"/>
    <w:rsid w:val="00E70ABD"/>
    <w:rsid w:val="00E7221E"/>
    <w:rsid w:val="00E731E7"/>
    <w:rsid w:val="00E751C1"/>
    <w:rsid w:val="00E7774F"/>
    <w:rsid w:val="00E80EB2"/>
    <w:rsid w:val="00E86685"/>
    <w:rsid w:val="00E9459C"/>
    <w:rsid w:val="00E95B59"/>
    <w:rsid w:val="00E9621B"/>
    <w:rsid w:val="00EA072B"/>
    <w:rsid w:val="00EA212C"/>
    <w:rsid w:val="00EA33F7"/>
    <w:rsid w:val="00EA38A6"/>
    <w:rsid w:val="00EA3D84"/>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499E"/>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3E9A"/>
    <w:rsid w:val="00F2427F"/>
    <w:rsid w:val="00F25D24"/>
    <w:rsid w:val="00F26396"/>
    <w:rsid w:val="00F30F95"/>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660C2"/>
    <w:rsid w:val="00F708DF"/>
    <w:rsid w:val="00F73521"/>
    <w:rsid w:val="00F73E30"/>
    <w:rsid w:val="00F75316"/>
    <w:rsid w:val="00F81E3E"/>
    <w:rsid w:val="00F82400"/>
    <w:rsid w:val="00F82F05"/>
    <w:rsid w:val="00F83D75"/>
    <w:rsid w:val="00F864A8"/>
    <w:rsid w:val="00F86E94"/>
    <w:rsid w:val="00F90199"/>
    <w:rsid w:val="00F901C1"/>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3650"/>
    <w:rsid w:val="00FE562B"/>
    <w:rsid w:val="00FE5FA5"/>
    <w:rsid w:val="00FF04DE"/>
    <w:rsid w:val="00FF0768"/>
    <w:rsid w:val="00FF1E5F"/>
    <w:rsid w:val="00FF2754"/>
    <w:rsid w:val="00FF4236"/>
    <w:rsid w:val="00FF7DC9"/>
    <w:rsid w:val="65407599"/>
  </w:rsids>
  <m:mathPr>
    <m:mathFont m:val="Cambria Math"/>
    <m:brkBin m:val="before"/>
    <m:brkBinSub m:val="--"/>
    <m:smallFrac m:val="0"/>
    <m:dispDef/>
    <m:lMargin m:val="0"/>
    <m:rMargin m:val="0"/>
    <m:defJc m:val="centerGroup"/>
    <m:wrapIndent m:val="1440"/>
    <m:intLim m:val="subSup"/>
    <m:naryLim m:val="undOvr"/>
  </m:mathPr>
  <w:doNotAutoCompressPictures/>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pPr>
    <w:rPr>
      <w:rFonts w:asciiTheme="minorHAnsi" w:hAnsiTheme="minorHAnsi" w:eastAsiaTheme="minorEastAsia" w:cstheme="minorBidi"/>
      <w:sz w:val="18"/>
      <w:szCs w:val="22"/>
      <w:lang w:val="en-GB" w:eastAsia="en-US" w:bidi="ar-SA"/>
    </w:rPr>
  </w:style>
  <w:style w:type="paragraph" w:styleId="2">
    <w:name w:val="heading 1"/>
    <w:basedOn w:val="1"/>
    <w:next w:val="1"/>
    <w:link w:val="26"/>
    <w:qFormat/>
    <w:uiPriority w:val="9"/>
    <w:pPr>
      <w:outlineLvl w:val="0"/>
    </w:pPr>
    <w:rPr>
      <w:b/>
      <w:color w:val="0095D5" w:themeColor="accent1"/>
      <w14:textFill>
        <w14:solidFill>
          <w14:schemeClr w14:val="accent1"/>
        </w14:solidFill>
      </w14:textFill>
    </w:rPr>
  </w:style>
  <w:style w:type="paragraph" w:styleId="3">
    <w:name w:val="heading 2"/>
    <w:basedOn w:val="1"/>
    <w:next w:val="1"/>
    <w:link w:val="28"/>
    <w:unhideWhenUsed/>
    <w:qFormat/>
    <w:uiPriority w:val="9"/>
    <w:pPr>
      <w:outlineLvl w:val="1"/>
    </w:pPr>
    <w:rPr>
      <w:b/>
    </w:rPr>
  </w:style>
  <w:style w:type="paragraph" w:styleId="4">
    <w:name w:val="heading 4"/>
    <w:basedOn w:val="1"/>
    <w:next w:val="1"/>
    <w:link w:val="45"/>
    <w:semiHidden/>
    <w:unhideWhenUsed/>
    <w:qFormat/>
    <w:uiPriority w:val="9"/>
    <w:pPr>
      <w:keepNext/>
      <w:keepLines/>
      <w:spacing w:before="40"/>
      <w:outlineLvl w:val="3"/>
    </w:pPr>
    <w:rPr>
      <w:rFonts w:asciiTheme="majorHAnsi" w:hAnsiTheme="majorHAnsi" w:eastAsiaTheme="majorEastAsia" w:cstheme="majorBidi"/>
      <w:i/>
      <w:iCs/>
      <w:color w:val="0070A0" w:themeColor="accent1" w:themeShade="BF"/>
    </w:rPr>
  </w:style>
  <w:style w:type="paragraph" w:styleId="5">
    <w:name w:val="heading 5"/>
    <w:basedOn w:val="1"/>
    <w:next w:val="1"/>
    <w:link w:val="37"/>
    <w:semiHidden/>
    <w:unhideWhenUsed/>
    <w:qFormat/>
    <w:uiPriority w:val="9"/>
    <w:pPr>
      <w:keepNext/>
      <w:keepLines/>
      <w:spacing w:before="40"/>
      <w:outlineLvl w:val="4"/>
    </w:pPr>
    <w:rPr>
      <w:rFonts w:asciiTheme="majorHAnsi" w:hAnsiTheme="majorHAnsi" w:eastAsiaTheme="majorEastAsia" w:cstheme="majorBidi"/>
      <w:color w:val="0070A0" w:themeColor="accent1" w:themeShade="BF"/>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pPr>
      <w:spacing w:line="210" w:lineRule="atLeast"/>
    </w:pPr>
    <w:rPr>
      <w:sz w:val="15"/>
    </w:rPr>
  </w:style>
  <w:style w:type="paragraph" w:styleId="7">
    <w:name w:val="annotation text"/>
    <w:basedOn w:val="1"/>
    <w:link w:val="57"/>
    <w:unhideWhenUsed/>
    <w:qFormat/>
    <w:uiPriority w:val="99"/>
    <w:pPr>
      <w:spacing w:line="240" w:lineRule="auto"/>
    </w:pPr>
    <w:rPr>
      <w:sz w:val="20"/>
      <w:szCs w:val="20"/>
    </w:rPr>
  </w:style>
  <w:style w:type="paragraph" w:styleId="8">
    <w:name w:val="Balloon Text"/>
    <w:basedOn w:val="1"/>
    <w:link w:val="32"/>
    <w:semiHidden/>
    <w:unhideWhenUsed/>
    <w:qFormat/>
    <w:uiPriority w:val="99"/>
    <w:pPr>
      <w:spacing w:line="240" w:lineRule="auto"/>
    </w:pPr>
    <w:rPr>
      <w:rFonts w:ascii="Segoe UI" w:hAnsi="Segoe UI" w:cs="Segoe UI"/>
      <w:szCs w:val="18"/>
    </w:rPr>
  </w:style>
  <w:style w:type="paragraph" w:styleId="9">
    <w:name w:val="footer"/>
    <w:basedOn w:val="1"/>
    <w:link w:val="23"/>
    <w:unhideWhenUsed/>
    <w:qFormat/>
    <w:uiPriority w:val="99"/>
    <w:pPr>
      <w:spacing w:line="180" w:lineRule="atLeast"/>
    </w:pPr>
    <w:rPr>
      <w:sz w:val="12"/>
    </w:rPr>
  </w:style>
  <w:style w:type="paragraph" w:styleId="10">
    <w:name w:val="header"/>
    <w:basedOn w:val="1"/>
    <w:link w:val="22"/>
    <w:unhideWhenUsed/>
    <w:qFormat/>
    <w:uiPriority w:val="99"/>
    <w:pPr>
      <w:spacing w:line="195" w:lineRule="atLeast"/>
      <w:ind w:right="-1737"/>
      <w:jc w:val="right"/>
    </w:pPr>
    <w:rPr>
      <w:caps/>
      <w:spacing w:val="12"/>
      <w:sz w:val="15"/>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12">
    <w:name w:val="Title"/>
    <w:basedOn w:val="1"/>
    <w:next w:val="1"/>
    <w:link w:val="25"/>
    <w:qFormat/>
    <w:uiPriority w:val="10"/>
    <w:pPr>
      <w:spacing w:before="440" w:after="200"/>
      <w:contextualSpacing/>
    </w:pPr>
    <w:rPr>
      <w:sz w:val="24"/>
    </w:rPr>
  </w:style>
  <w:style w:type="paragraph" w:styleId="13">
    <w:name w:val="annotation subject"/>
    <w:basedOn w:val="7"/>
    <w:next w:val="7"/>
    <w:link w:val="58"/>
    <w:semiHidden/>
    <w:unhideWhenUsed/>
    <w:uiPriority w:val="99"/>
    <w:rPr>
      <w:b/>
      <w:bCs/>
    </w:rPr>
  </w:style>
  <w:style w:type="table" w:styleId="15">
    <w:name w:val="Table Grid"/>
    <w:basedOn w:val="14"/>
    <w:unhideWhenUsed/>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FollowedHyperlink"/>
    <w:basedOn w:val="16"/>
    <w:semiHidden/>
    <w:unhideWhenUsed/>
    <w:uiPriority w:val="99"/>
    <w:rPr>
      <w:color w:val="000000" w:themeColor="followedHyperlink"/>
      <w:u w:val="single"/>
      <w14:textFill>
        <w14:solidFill>
          <w14:schemeClr w14:val="folHlink"/>
        </w14:solidFill>
      </w14:textFill>
    </w:rPr>
  </w:style>
  <w:style w:type="character" w:styleId="19">
    <w:name w:val="Emphasis"/>
    <w:basedOn w:val="16"/>
    <w:qFormat/>
    <w:uiPriority w:val="20"/>
    <w:rPr>
      <w:i/>
      <w:iCs/>
    </w:rPr>
  </w:style>
  <w:style w:type="character" w:styleId="20">
    <w:name w:val="Hyperlink"/>
    <w:basedOn w:val="16"/>
    <w:unhideWhenUsed/>
    <w:qFormat/>
    <w:uiPriority w:val="99"/>
    <w:rPr>
      <w:color w:val="000000" w:themeColor="hyperlink"/>
      <w:u w:val="single"/>
      <w14:textFill>
        <w14:solidFill>
          <w14:schemeClr w14:val="hlink"/>
        </w14:solidFill>
      </w14:textFill>
    </w:rPr>
  </w:style>
  <w:style w:type="character" w:styleId="21">
    <w:name w:val="annotation reference"/>
    <w:basedOn w:val="16"/>
    <w:semiHidden/>
    <w:unhideWhenUsed/>
    <w:uiPriority w:val="99"/>
    <w:rPr>
      <w:sz w:val="16"/>
      <w:szCs w:val="16"/>
    </w:rPr>
  </w:style>
  <w:style w:type="character" w:customStyle="1" w:styleId="22">
    <w:name w:val="页眉 字符"/>
    <w:basedOn w:val="16"/>
    <w:link w:val="10"/>
    <w:qFormat/>
    <w:uiPriority w:val="99"/>
    <w:rPr>
      <w:caps/>
      <w:spacing w:val="12"/>
      <w:sz w:val="15"/>
      <w:lang w:val="en-GB"/>
    </w:rPr>
  </w:style>
  <w:style w:type="character" w:customStyle="1" w:styleId="23">
    <w:name w:val="页脚 字符"/>
    <w:basedOn w:val="16"/>
    <w:link w:val="9"/>
    <w:qFormat/>
    <w:uiPriority w:val="99"/>
    <w:rPr>
      <w:sz w:val="12"/>
      <w:lang w:val="en-GB"/>
    </w:rPr>
  </w:style>
  <w:style w:type="paragraph" w:customStyle="1" w:styleId="24">
    <w:name w:val="Info"/>
    <w:basedOn w:val="1"/>
    <w:qFormat/>
    <w:uiPriority w:val="0"/>
    <w:pPr>
      <w:spacing w:line="180" w:lineRule="atLeast"/>
    </w:pPr>
    <w:rPr>
      <w:sz w:val="12"/>
    </w:rPr>
  </w:style>
  <w:style w:type="character" w:customStyle="1" w:styleId="25">
    <w:name w:val="标题 字符"/>
    <w:basedOn w:val="16"/>
    <w:link w:val="12"/>
    <w:qFormat/>
    <w:uiPriority w:val="10"/>
    <w:rPr>
      <w:sz w:val="24"/>
      <w:lang w:val="en-GB"/>
    </w:rPr>
  </w:style>
  <w:style w:type="character" w:customStyle="1" w:styleId="26">
    <w:name w:val="标题 1 字符"/>
    <w:basedOn w:val="16"/>
    <w:link w:val="2"/>
    <w:qFormat/>
    <w:uiPriority w:val="9"/>
    <w:rPr>
      <w:b/>
      <w:color w:val="0095D5" w:themeColor="accent1"/>
      <w:sz w:val="18"/>
      <w:lang w:val="en-GB"/>
      <w14:textFill>
        <w14:solidFill>
          <w14:schemeClr w14:val="accent1"/>
        </w14:solidFill>
      </w14:textFill>
    </w:rPr>
  </w:style>
  <w:style w:type="paragraph" w:customStyle="1" w:styleId="27">
    <w:name w:val="Marginal note"/>
    <w:basedOn w:val="1"/>
    <w:qFormat/>
    <w:uiPriority w:val="0"/>
    <w:pPr>
      <w:framePr w:w="1418" w:wrap="around" w:vAnchor="text" w:hAnchor="text" w:x="8194" w:y="41"/>
      <w:spacing w:line="195" w:lineRule="atLeast"/>
    </w:pPr>
    <w:rPr>
      <w:sz w:val="15"/>
    </w:rPr>
  </w:style>
  <w:style w:type="character" w:customStyle="1" w:styleId="28">
    <w:name w:val="标题 2 字符"/>
    <w:basedOn w:val="16"/>
    <w:link w:val="3"/>
    <w:qFormat/>
    <w:uiPriority w:val="9"/>
    <w:rPr>
      <w:b/>
      <w:sz w:val="18"/>
      <w:lang w:val="en-GB"/>
    </w:rPr>
  </w:style>
  <w:style w:type="paragraph" w:customStyle="1" w:styleId="29">
    <w:name w:val="Contact"/>
    <w:basedOn w:val="1"/>
    <w:qFormat/>
    <w:uiPriority w:val="0"/>
    <w:pPr>
      <w:tabs>
        <w:tab w:val="left" w:pos="4111"/>
      </w:tabs>
      <w:spacing w:line="210" w:lineRule="atLeast"/>
    </w:pPr>
    <w:rPr>
      <w:sz w:val="15"/>
    </w:rPr>
  </w:style>
  <w:style w:type="paragraph" w:customStyle="1" w:styleId="30">
    <w:name w:val="Embargo"/>
    <w:basedOn w:val="1"/>
    <w:qFormat/>
    <w:uiPriority w:val="0"/>
    <w:pPr>
      <w:spacing w:after="240"/>
    </w:pPr>
    <w:rPr>
      <w:b/>
      <w:color w:val="FF0A14"/>
    </w:rPr>
  </w:style>
  <w:style w:type="paragraph" w:customStyle="1" w:styleId="31">
    <w:name w:val="About"/>
    <w:basedOn w:val="1"/>
    <w:qFormat/>
    <w:uiPriority w:val="0"/>
    <w:pPr>
      <w:spacing w:line="240" w:lineRule="auto"/>
    </w:pPr>
  </w:style>
  <w:style w:type="character" w:customStyle="1" w:styleId="32">
    <w:name w:val="批注框文本 字符"/>
    <w:basedOn w:val="16"/>
    <w:link w:val="8"/>
    <w:semiHidden/>
    <w:qFormat/>
    <w:uiPriority w:val="99"/>
    <w:rPr>
      <w:rFonts w:ascii="Segoe UI" w:hAnsi="Segoe UI" w:cs="Segoe UI"/>
      <w:sz w:val="18"/>
      <w:szCs w:val="18"/>
      <w:lang w:val="en-GB"/>
    </w:rPr>
  </w:style>
  <w:style w:type="paragraph" w:customStyle="1" w:styleId="33">
    <w:name w:val="senn-regular"/>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customStyle="1" w:styleId="34">
    <w:name w:val="price__currency-sign"/>
    <w:basedOn w:val="16"/>
    <w:uiPriority w:val="0"/>
  </w:style>
  <w:style w:type="character" w:customStyle="1" w:styleId="35">
    <w:name w:val="price__amount"/>
    <w:basedOn w:val="16"/>
    <w:uiPriority w:val="0"/>
  </w:style>
  <w:style w:type="paragraph" w:customStyle="1" w:styleId="36">
    <w:name w:val="product-teaser__price__details"/>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customStyle="1" w:styleId="37">
    <w:name w:val="标题 5 字符"/>
    <w:basedOn w:val="16"/>
    <w:link w:val="5"/>
    <w:semiHidden/>
    <w:uiPriority w:val="9"/>
    <w:rPr>
      <w:rFonts w:asciiTheme="majorHAnsi" w:hAnsiTheme="majorHAnsi" w:eastAsiaTheme="majorEastAsia" w:cstheme="majorBidi"/>
      <w:color w:val="0070A0" w:themeColor="accent1" w:themeShade="BF"/>
      <w:sz w:val="18"/>
      <w:lang w:val="en-GB"/>
    </w:rPr>
  </w:style>
  <w:style w:type="paragraph" w:customStyle="1" w:styleId="38">
    <w:name w:val="msonormal"/>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customStyle="1" w:styleId="39">
    <w:name w:val="xl20"/>
    <w:basedOn w:val="1"/>
    <w:uiPriority w:val="0"/>
    <w:pPr>
      <w:spacing w:before="100" w:beforeAutospacing="1" w:after="100" w:afterAutospacing="1" w:line="240" w:lineRule="auto"/>
    </w:pPr>
    <w:rPr>
      <w:rFonts w:ascii="Times New Roman" w:hAnsi="Times New Roman" w:eastAsia="Times New Roman" w:cs="Times New Roman"/>
      <w:color w:val="0563C1"/>
      <w:sz w:val="24"/>
      <w:szCs w:val="24"/>
      <w:u w:val="single"/>
      <w:lang w:val="de-DE" w:eastAsia="de-DE"/>
    </w:rPr>
  </w:style>
  <w:style w:type="paragraph" w:customStyle="1" w:styleId="40">
    <w:name w:val="xl21"/>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customStyle="1" w:styleId="41">
    <w:name w:val="xl23"/>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customStyle="1" w:styleId="42">
    <w:name w:val="xl26"/>
    <w:basedOn w:val="1"/>
    <w:uiPriority w:val="0"/>
    <w:pPr>
      <w:spacing w:before="100" w:beforeAutospacing="1" w:after="100" w:afterAutospacing="1" w:line="240" w:lineRule="auto"/>
      <w:textAlignment w:val="center"/>
    </w:pPr>
    <w:rPr>
      <w:rFonts w:ascii="Times New Roman" w:hAnsi="Times New Roman" w:eastAsia="Times New Roman" w:cs="Times New Roman"/>
      <w:sz w:val="22"/>
      <w:lang w:val="de-DE" w:eastAsia="de-DE"/>
    </w:rPr>
  </w:style>
  <w:style w:type="character" w:customStyle="1" w:styleId="43">
    <w:name w:val="Nicht aufgelöste Erwähnung1"/>
    <w:basedOn w:val="16"/>
    <w:semiHidden/>
    <w:unhideWhenUsed/>
    <w:uiPriority w:val="99"/>
    <w:rPr>
      <w:color w:val="605E5C"/>
      <w:shd w:val="clear" w:color="auto" w:fill="E1DFDD"/>
    </w:rPr>
  </w:style>
  <w:style w:type="paragraph" w:styleId="44">
    <w:name w:val="List Paragraph"/>
    <w:basedOn w:val="1"/>
    <w:qFormat/>
    <w:uiPriority w:val="34"/>
    <w:pPr>
      <w:ind w:left="720"/>
      <w:contextualSpacing/>
    </w:pPr>
  </w:style>
  <w:style w:type="character" w:customStyle="1" w:styleId="45">
    <w:name w:val="标题 4 字符"/>
    <w:basedOn w:val="16"/>
    <w:link w:val="4"/>
    <w:semiHidden/>
    <w:uiPriority w:val="9"/>
    <w:rPr>
      <w:rFonts w:asciiTheme="majorHAnsi" w:hAnsiTheme="majorHAnsi" w:eastAsiaTheme="majorEastAsia" w:cstheme="majorBidi"/>
      <w:i/>
      <w:iCs/>
      <w:color w:val="0070A0" w:themeColor="accent1" w:themeShade="BF"/>
      <w:sz w:val="18"/>
      <w:lang w:val="en-GB"/>
    </w:rPr>
  </w:style>
  <w:style w:type="paragraph" w:customStyle="1" w:styleId="46">
    <w:name w:val="paragraph"/>
    <w:basedOn w:val="1"/>
    <w:uiPriority w:val="0"/>
    <w:pPr>
      <w:spacing w:before="100" w:beforeAutospacing="1" w:after="100" w:afterAutospacing="1" w:line="240" w:lineRule="auto"/>
    </w:pPr>
    <w:rPr>
      <w:rFonts w:ascii="Calibri" w:hAnsi="Calibri" w:cs="Calibri"/>
      <w:sz w:val="22"/>
      <w:lang w:val="de-DE" w:eastAsia="de-DE"/>
    </w:rPr>
  </w:style>
  <w:style w:type="character" w:customStyle="1" w:styleId="47">
    <w:name w:val="normaltextrun"/>
    <w:basedOn w:val="16"/>
    <w:uiPriority w:val="0"/>
  </w:style>
  <w:style w:type="character" w:customStyle="1" w:styleId="48">
    <w:name w:val="eop"/>
    <w:basedOn w:val="16"/>
    <w:uiPriority w:val="0"/>
  </w:style>
  <w:style w:type="character" w:customStyle="1" w:styleId="49">
    <w:name w:val="Nicht aufgelöste Erwähnung2"/>
    <w:basedOn w:val="16"/>
    <w:semiHidden/>
    <w:unhideWhenUsed/>
    <w:uiPriority w:val="99"/>
    <w:rPr>
      <w:color w:val="605E5C"/>
      <w:shd w:val="clear" w:color="auto" w:fill="E1DFDD"/>
    </w:rPr>
  </w:style>
  <w:style w:type="character" w:customStyle="1" w:styleId="50">
    <w:name w:val="scxw52813454"/>
    <w:basedOn w:val="16"/>
    <w:uiPriority w:val="0"/>
  </w:style>
  <w:style w:type="character" w:customStyle="1" w:styleId="51">
    <w:name w:val="ms-h3"/>
    <w:basedOn w:val="16"/>
    <w:uiPriority w:val="0"/>
  </w:style>
  <w:style w:type="character" w:customStyle="1" w:styleId="52">
    <w:name w:val="scxw130742757"/>
    <w:basedOn w:val="16"/>
    <w:uiPriority w:val="0"/>
  </w:style>
  <w:style w:type="character" w:customStyle="1" w:styleId="53">
    <w:name w:val="ydpb5a3d5bfs1"/>
    <w:basedOn w:val="16"/>
    <w:uiPriority w:val="0"/>
  </w:style>
  <w:style w:type="character" w:customStyle="1" w:styleId="54">
    <w:name w:val="Unresolved Mention1"/>
    <w:basedOn w:val="16"/>
    <w:semiHidden/>
    <w:unhideWhenUsed/>
    <w:uiPriority w:val="99"/>
    <w:rPr>
      <w:color w:val="605E5C"/>
      <w:shd w:val="clear" w:color="auto" w:fill="E1DFDD"/>
    </w:rPr>
  </w:style>
  <w:style w:type="character" w:customStyle="1" w:styleId="55">
    <w:name w:val="scxw170946324"/>
    <w:basedOn w:val="16"/>
    <w:uiPriority w:val="0"/>
  </w:style>
  <w:style w:type="character" w:customStyle="1" w:styleId="56">
    <w:name w:val="bcx9"/>
    <w:basedOn w:val="16"/>
    <w:uiPriority w:val="0"/>
  </w:style>
  <w:style w:type="character" w:customStyle="1" w:styleId="57">
    <w:name w:val="批注文字 字符"/>
    <w:basedOn w:val="16"/>
    <w:link w:val="7"/>
    <w:qFormat/>
    <w:uiPriority w:val="99"/>
    <w:rPr>
      <w:sz w:val="20"/>
      <w:szCs w:val="20"/>
      <w:lang w:val="en-GB"/>
    </w:rPr>
  </w:style>
  <w:style w:type="character" w:customStyle="1" w:styleId="58">
    <w:name w:val="批注主题 字符"/>
    <w:basedOn w:val="57"/>
    <w:link w:val="13"/>
    <w:semiHidden/>
    <w:uiPriority w:val="99"/>
    <w:rPr>
      <w:b/>
      <w:bCs/>
      <w:sz w:val="20"/>
      <w:szCs w:val="20"/>
      <w:lang w:val="en-GB"/>
    </w:rPr>
  </w:style>
  <w:style w:type="paragraph" w:customStyle="1" w:styleId="59">
    <w:name w:val="Revision"/>
    <w:hidden/>
    <w:semiHidden/>
    <w:uiPriority w:val="99"/>
    <w:pPr>
      <w:spacing w:after="0" w:line="240" w:lineRule="auto"/>
    </w:pPr>
    <w:rPr>
      <w:rFonts w:asciiTheme="minorHAnsi" w:hAnsiTheme="minorHAnsi" w:eastAsiaTheme="minorEastAsia" w:cstheme="minorBidi"/>
      <w:sz w:val="18"/>
      <w:szCs w:val="22"/>
      <w:lang w:val="en-GB" w:eastAsia="en-US" w:bidi="ar-SA"/>
    </w:rPr>
  </w:style>
  <w:style w:type="paragraph" w:customStyle="1" w:styleId="60">
    <w:name w:val="release-content-contact__details-list-item"/>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61">
    <w:name w:val="Placeholder Text"/>
    <w:basedOn w:val="16"/>
    <w:semiHidden/>
    <w:uiPriority w:val="99"/>
    <w:rPr>
      <w:color w:val="808080"/>
    </w:rPr>
  </w:style>
  <w:style w:type="character" w:customStyle="1" w:styleId="62">
    <w:name w:val="Unresolved Mention"/>
    <w:basedOn w:val="16"/>
    <w:semiHidden/>
    <w:unhideWhenUsed/>
    <w:uiPriority w:val="99"/>
    <w:rPr>
      <w:color w:val="605E5C"/>
      <w:shd w:val="clear" w:color="auto" w:fill="E1DFDD"/>
    </w:rPr>
  </w:style>
  <w:style w:type="paragraph" w:customStyle="1" w:styleId="63">
    <w:name w:val="definitions__list__row"/>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customStyle="1" w:styleId="64">
    <w:name w:val="ui-provider"/>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cid:dff6e01b-7932-4fba-b60e-397ed2304003" TargetMode="External"/><Relationship Id="rId15" Type="http://schemas.openxmlformats.org/officeDocument/2006/relationships/image" Target="media/image8.png"/><Relationship Id="rId14" Type="http://schemas.openxmlformats.org/officeDocument/2006/relationships/image" Target="cid:0eeaa544-a1fb-46ed-a8cb-b430ffbe91f9" TargetMode="Externa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datastoreItem>
</file>

<file path=docProps/app.xml><?xml version="1.0" encoding="utf-8"?>
<Properties xmlns="http://schemas.openxmlformats.org/officeDocument/2006/extended-properties" xmlns:vt="http://schemas.openxmlformats.org/officeDocument/2006/docPropsVTypes">
  <Template>Normal</Template>
  <Company>Sennheiser electronic GmbH &amp; Co. KG</Company>
  <Pages>6</Pages>
  <Words>2579</Words>
  <Characters>3033</Characters>
  <Lines>24</Lines>
  <Paragraphs>6</Paragraphs>
  <TotalTime>170</TotalTime>
  <ScaleCrop>false</ScaleCrop>
  <LinksUpToDate>false</LinksUpToDate>
  <CharactersWithSpaces>3152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2024-01-23T06:12:00Z</dcterms:created>
  <dc:creator>Sennheiser electronic GmbH &amp; Co. KG</dc:creator>
  <cp:lastModifiedBy>Administrator</cp:lastModifiedBy>
  <cp:lastPrinted>2024-01-18T11:19:00Z</cp:lastPrinted>
  <dcterms:modified xsi:type="dcterms:W3CDTF">2024-01-24T04:30:38Z</dcterms:modified>
  <dc:title>Press Release</dc:title>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7B59163390FE440DA2602976B51AED79</vt:lpwstr>
  </property>
</Properties>
</file>